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CA" w:rsidRPr="00C339CA" w:rsidRDefault="00C339CA" w:rsidP="00C339CA">
      <w:pPr>
        <w:keepNext/>
        <w:keepLines/>
        <w:spacing w:before="260" w:after="260" w:line="416" w:lineRule="auto"/>
        <w:jc w:val="center"/>
        <w:outlineLvl w:val="2"/>
        <w:rPr>
          <w:rFonts w:ascii="宋体" w:eastAsia="宋体" w:hAnsi="Times New Roman" w:cs="Times New Roman" w:hint="eastAsia"/>
          <w:b/>
          <w:bCs/>
          <w:sz w:val="32"/>
          <w:szCs w:val="32"/>
        </w:rPr>
      </w:pPr>
      <w:bookmarkStart w:id="0" w:name="_Toc293560326"/>
      <w:bookmarkStart w:id="1" w:name="_Toc20908"/>
      <w:bookmarkStart w:id="2" w:name="_Toc4438"/>
      <w:bookmarkStart w:id="3" w:name="_Toc8414"/>
      <w:bookmarkStart w:id="4" w:name="_Toc462234311"/>
      <w:bookmarkStart w:id="5" w:name="_Toc16216"/>
      <w:bookmarkStart w:id="6" w:name="_Toc5101"/>
      <w:bookmarkStart w:id="7" w:name="_Toc482084458"/>
      <w:r w:rsidRPr="00C339CA">
        <w:rPr>
          <w:rFonts w:ascii="宋体" w:eastAsia="宋体" w:hAnsi="Times New Roman" w:cs="Times New Roman" w:hint="eastAsia"/>
          <w:b/>
          <w:bCs/>
          <w:sz w:val="32"/>
          <w:szCs w:val="32"/>
        </w:rPr>
        <w:t>宿州站涉铁市政道路改造工程-银河一路上跨京沪铁路立交</w:t>
      </w:r>
    </w:p>
    <w:p w:rsidR="00C339CA" w:rsidRDefault="00C339CA" w:rsidP="00C339CA">
      <w:pPr>
        <w:keepNext/>
        <w:keepLines/>
        <w:spacing w:before="260" w:after="260" w:line="416" w:lineRule="auto"/>
        <w:jc w:val="center"/>
        <w:outlineLvl w:val="2"/>
        <w:rPr>
          <w:rFonts w:ascii="宋体" w:eastAsia="宋体" w:hAnsi="Times New Roman" w:cs="Times New Roman"/>
          <w:b/>
          <w:bCs/>
          <w:sz w:val="32"/>
          <w:szCs w:val="32"/>
        </w:rPr>
      </w:pPr>
      <w:r w:rsidRPr="00C339CA">
        <w:rPr>
          <w:rFonts w:ascii="宋体" w:eastAsia="宋体" w:hAnsi="Times New Roman" w:cs="Times New Roman" w:hint="eastAsia"/>
          <w:b/>
          <w:bCs/>
          <w:sz w:val="32"/>
          <w:szCs w:val="32"/>
        </w:rPr>
        <w:t>绿化工程与交通安全设施工程苗木采购项目</w:t>
      </w:r>
      <w:r>
        <w:rPr>
          <w:rFonts w:ascii="宋体" w:eastAsia="宋体" w:hAnsi="Times New Roman" w:cs="Times New Roman" w:hint="eastAsia"/>
          <w:b/>
          <w:bCs/>
          <w:sz w:val="32"/>
          <w:szCs w:val="32"/>
        </w:rPr>
        <w:t>货物服务</w:t>
      </w:r>
      <w:bookmarkEnd w:id="0"/>
      <w:r>
        <w:rPr>
          <w:rFonts w:ascii="宋体" w:eastAsia="宋体" w:hAnsi="Times New Roman" w:cs="Times New Roman" w:hint="eastAsia"/>
          <w:b/>
          <w:bCs/>
          <w:sz w:val="32"/>
          <w:szCs w:val="32"/>
        </w:rPr>
        <w:t>清单及技术要求</w:t>
      </w:r>
      <w:bookmarkEnd w:id="1"/>
      <w:r>
        <w:rPr>
          <w:rFonts w:ascii="宋体" w:eastAsia="宋体" w:hAnsi="Times New Roman" w:cs="Times New Roman" w:hint="eastAsia"/>
          <w:b/>
          <w:bCs/>
          <w:sz w:val="32"/>
          <w:szCs w:val="32"/>
        </w:rPr>
        <w:t>/服务需求</w:t>
      </w:r>
      <w:bookmarkEnd w:id="2"/>
      <w:bookmarkEnd w:id="3"/>
      <w:bookmarkEnd w:id="4"/>
      <w:bookmarkEnd w:id="5"/>
      <w:bookmarkEnd w:id="6"/>
      <w:bookmarkEnd w:id="7"/>
    </w:p>
    <w:p w:rsidR="00C339CA" w:rsidRDefault="00C339CA" w:rsidP="00C339CA">
      <w:pPr>
        <w:spacing w:line="56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（一）苗木采购数量、质量标准</w:t>
      </w:r>
    </w:p>
    <w:tbl>
      <w:tblPr>
        <w:tblStyle w:val="a5"/>
        <w:tblW w:w="8816" w:type="dxa"/>
        <w:tblLook w:val="04A0"/>
      </w:tblPr>
      <w:tblGrid>
        <w:gridCol w:w="699"/>
        <w:gridCol w:w="1582"/>
        <w:gridCol w:w="2520"/>
        <w:gridCol w:w="720"/>
        <w:gridCol w:w="1200"/>
        <w:gridCol w:w="2095"/>
      </w:tblGrid>
      <w:tr w:rsidR="00C339CA" w:rsidTr="00EC3392">
        <w:trPr>
          <w:trHeight w:val="938"/>
        </w:trPr>
        <w:tc>
          <w:tcPr>
            <w:tcW w:w="699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18"/>
              </w:rPr>
              <w:t>序号</w:t>
            </w:r>
          </w:p>
        </w:tc>
        <w:tc>
          <w:tcPr>
            <w:tcW w:w="1582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18"/>
              </w:rPr>
              <w:t>品种</w:t>
            </w:r>
          </w:p>
        </w:tc>
        <w:tc>
          <w:tcPr>
            <w:tcW w:w="2520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18"/>
              </w:rPr>
              <w:t>特征</w:t>
            </w:r>
          </w:p>
        </w:tc>
        <w:tc>
          <w:tcPr>
            <w:tcW w:w="720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18"/>
              </w:rPr>
              <w:t>单位</w:t>
            </w:r>
          </w:p>
        </w:tc>
        <w:tc>
          <w:tcPr>
            <w:tcW w:w="1200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18"/>
              </w:rPr>
              <w:t>数量</w:t>
            </w:r>
          </w:p>
        </w:tc>
        <w:tc>
          <w:tcPr>
            <w:tcW w:w="2095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18"/>
              </w:rPr>
              <w:t>备注</w:t>
            </w:r>
          </w:p>
        </w:tc>
      </w:tr>
      <w:tr w:rsidR="00C339CA" w:rsidTr="00EC3392">
        <w:trPr>
          <w:trHeight w:val="1858"/>
        </w:trPr>
        <w:tc>
          <w:tcPr>
            <w:tcW w:w="699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18"/>
              </w:rPr>
              <w:t>1</w:t>
            </w:r>
          </w:p>
        </w:tc>
        <w:tc>
          <w:tcPr>
            <w:tcW w:w="1582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树状月季</w:t>
            </w:r>
          </w:p>
        </w:tc>
        <w:tc>
          <w:tcPr>
            <w:tcW w:w="252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胸径6cm、高度150cm、冠幅120cm</w:t>
            </w:r>
          </w:p>
          <w:p w:rsidR="00C339CA" w:rsidRDefault="00C339CA" w:rsidP="00EC33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起挖方式：带土球</w:t>
            </w:r>
          </w:p>
        </w:tc>
        <w:tc>
          <w:tcPr>
            <w:tcW w:w="72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120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95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质量合格，二级养护，养护期1年</w:t>
            </w:r>
          </w:p>
        </w:tc>
      </w:tr>
      <w:tr w:rsidR="00C339CA" w:rsidTr="00EC3392">
        <w:trPr>
          <w:trHeight w:val="1933"/>
        </w:trPr>
        <w:tc>
          <w:tcPr>
            <w:tcW w:w="699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18"/>
              </w:rPr>
              <w:t>2</w:t>
            </w:r>
          </w:p>
        </w:tc>
        <w:tc>
          <w:tcPr>
            <w:tcW w:w="1582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无刺构骨球</w:t>
            </w:r>
          </w:p>
        </w:tc>
        <w:tc>
          <w:tcPr>
            <w:tcW w:w="252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高度120cm、冠幅150cm</w:t>
            </w:r>
          </w:p>
          <w:p w:rsidR="00C339CA" w:rsidRDefault="00C339CA" w:rsidP="00EC33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起挖方式：带土球</w:t>
            </w:r>
          </w:p>
        </w:tc>
        <w:tc>
          <w:tcPr>
            <w:tcW w:w="72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120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95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质量合格，二级养护，养护期1年</w:t>
            </w:r>
          </w:p>
        </w:tc>
      </w:tr>
      <w:tr w:rsidR="00C339CA" w:rsidTr="00EC3392">
        <w:trPr>
          <w:trHeight w:val="1903"/>
        </w:trPr>
        <w:tc>
          <w:tcPr>
            <w:tcW w:w="699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18"/>
              </w:rPr>
              <w:t>3</w:t>
            </w:r>
          </w:p>
        </w:tc>
        <w:tc>
          <w:tcPr>
            <w:tcW w:w="1582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丰花月季</w:t>
            </w:r>
          </w:p>
        </w:tc>
        <w:tc>
          <w:tcPr>
            <w:tcW w:w="252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冠幅40cm、高度50cm、密度25株/㎡</w:t>
            </w:r>
          </w:p>
        </w:tc>
        <w:tc>
          <w:tcPr>
            <w:tcW w:w="72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120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2095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质量合格，二级养护，养护期1年</w:t>
            </w:r>
          </w:p>
        </w:tc>
      </w:tr>
      <w:tr w:rsidR="00C339CA" w:rsidTr="00EC3392">
        <w:trPr>
          <w:trHeight w:val="1888"/>
        </w:trPr>
        <w:tc>
          <w:tcPr>
            <w:tcW w:w="699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18"/>
              </w:rPr>
              <w:t>4</w:t>
            </w:r>
          </w:p>
        </w:tc>
        <w:tc>
          <w:tcPr>
            <w:tcW w:w="1582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矮生紫薇</w:t>
            </w:r>
          </w:p>
        </w:tc>
        <w:tc>
          <w:tcPr>
            <w:tcW w:w="252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冠幅30cm、高度50cm、密度25株/㎡</w:t>
            </w:r>
          </w:p>
        </w:tc>
        <w:tc>
          <w:tcPr>
            <w:tcW w:w="72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120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095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质量合格，二级养护，养护期1年</w:t>
            </w:r>
          </w:p>
        </w:tc>
      </w:tr>
      <w:tr w:rsidR="00C339CA" w:rsidTr="00EC3392">
        <w:trPr>
          <w:trHeight w:val="1858"/>
        </w:trPr>
        <w:tc>
          <w:tcPr>
            <w:tcW w:w="699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18"/>
              </w:rPr>
              <w:t>5</w:t>
            </w:r>
          </w:p>
        </w:tc>
        <w:tc>
          <w:tcPr>
            <w:tcW w:w="1582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春鹃</w:t>
            </w:r>
          </w:p>
        </w:tc>
        <w:tc>
          <w:tcPr>
            <w:tcW w:w="252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冠幅40cm、高度30cm、密度25株/㎡</w:t>
            </w:r>
          </w:p>
        </w:tc>
        <w:tc>
          <w:tcPr>
            <w:tcW w:w="72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120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7500</w:t>
            </w:r>
          </w:p>
        </w:tc>
        <w:tc>
          <w:tcPr>
            <w:tcW w:w="2095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质量合格，二级养护，养护期1年</w:t>
            </w:r>
          </w:p>
        </w:tc>
      </w:tr>
      <w:tr w:rsidR="00C339CA" w:rsidTr="00EC3392">
        <w:trPr>
          <w:trHeight w:val="1823"/>
        </w:trPr>
        <w:tc>
          <w:tcPr>
            <w:tcW w:w="699" w:type="dxa"/>
            <w:vAlign w:val="center"/>
          </w:tcPr>
          <w:p w:rsidR="00C339CA" w:rsidRDefault="00C339CA" w:rsidP="00EC339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18"/>
              </w:rPr>
              <w:lastRenderedPageBreak/>
              <w:t>6</w:t>
            </w:r>
          </w:p>
        </w:tc>
        <w:tc>
          <w:tcPr>
            <w:tcW w:w="1582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种植土（包含有机土）</w:t>
            </w:r>
          </w:p>
        </w:tc>
        <w:tc>
          <w:tcPr>
            <w:tcW w:w="252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200" w:type="dxa"/>
            <w:vAlign w:val="center"/>
          </w:tcPr>
          <w:p w:rsidR="00C339CA" w:rsidRDefault="00C339CA" w:rsidP="00EC3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2095" w:type="dxa"/>
            <w:vAlign w:val="center"/>
          </w:tcPr>
          <w:p w:rsidR="00C339CA" w:rsidRDefault="00C339CA" w:rsidP="00EC339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1.土壤掺配比例7：3</w:t>
            </w:r>
          </w:p>
          <w:p w:rsidR="00C339CA" w:rsidRDefault="00C339CA" w:rsidP="00EC339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2.回填厚度：满足设计要求</w:t>
            </w:r>
          </w:p>
          <w:p w:rsidR="00C339CA" w:rsidRDefault="00C339CA" w:rsidP="00EC3392"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3.营养土：满足设计要求（有机肥）</w:t>
            </w:r>
          </w:p>
        </w:tc>
      </w:tr>
    </w:tbl>
    <w:p w:rsidR="00C339CA" w:rsidRDefault="00C339CA" w:rsidP="00C339CA">
      <w:pPr>
        <w:spacing w:line="560" w:lineRule="exact"/>
        <w:rPr>
          <w:rFonts w:ascii="宋体" w:eastAsia="宋体" w:hAnsi="宋体" w:cs="宋体"/>
          <w:sz w:val="24"/>
        </w:rPr>
      </w:pPr>
    </w:p>
    <w:p w:rsidR="00C339CA" w:rsidRDefault="00C339CA" w:rsidP="00C339CA">
      <w:pPr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（二）种植要求</w:t>
      </w:r>
    </w:p>
    <w:p w:rsidR="00C339CA" w:rsidRDefault="00C339CA" w:rsidP="00C339CA">
      <w:pPr>
        <w:rPr>
          <w:rFonts w:ascii="宋体" w:eastAsia="宋体" w:hAnsi="宋体" w:cs="宋体"/>
          <w:sz w:val="24"/>
          <w:szCs w:val="36"/>
        </w:rPr>
      </w:pPr>
      <w:r>
        <w:rPr>
          <w:rFonts w:ascii="宋体" w:eastAsia="宋体" w:hAnsi="宋体" w:cs="宋体" w:hint="eastAsia"/>
          <w:sz w:val="24"/>
          <w:szCs w:val="36"/>
        </w:rPr>
        <w:t>（1）栽植要符合《安徽省城镇园林绿化导则》</w:t>
      </w:r>
    </w:p>
    <w:p w:rsidR="00C339CA" w:rsidRDefault="00C339CA" w:rsidP="00C339CA">
      <w:pPr>
        <w:rPr>
          <w:rFonts w:ascii="宋体" w:eastAsia="宋体" w:hAnsi="宋体" w:cs="宋体"/>
          <w:sz w:val="24"/>
          <w:szCs w:val="36"/>
        </w:rPr>
      </w:pPr>
      <w:r>
        <w:rPr>
          <w:rFonts w:ascii="宋体" w:eastAsia="宋体" w:hAnsi="宋体" w:cs="宋体" w:hint="eastAsia"/>
          <w:sz w:val="24"/>
          <w:szCs w:val="36"/>
        </w:rPr>
        <w:t>（2）养护期1年，成活率100%</w:t>
      </w:r>
    </w:p>
    <w:p w:rsidR="00C339CA" w:rsidRDefault="00C339CA" w:rsidP="00C339CA">
      <w:pPr>
        <w:rPr>
          <w:rFonts w:ascii="宋体" w:eastAsia="宋体" w:hAnsi="宋体" w:cs="宋体"/>
          <w:sz w:val="24"/>
          <w:szCs w:val="36"/>
        </w:rPr>
      </w:pPr>
      <w:r>
        <w:rPr>
          <w:rFonts w:ascii="宋体" w:eastAsia="宋体" w:hAnsi="宋体" w:cs="宋体" w:hint="eastAsia"/>
          <w:sz w:val="24"/>
          <w:szCs w:val="36"/>
        </w:rPr>
        <w:t>（3）需考虑非施工季节采取的措施</w:t>
      </w:r>
    </w:p>
    <w:p w:rsidR="00C339CA" w:rsidRDefault="00C339CA" w:rsidP="00C339CA">
      <w:pPr>
        <w:rPr>
          <w:rFonts w:ascii="宋体" w:eastAsia="宋体" w:hAnsi="宋体" w:cs="宋体"/>
          <w:sz w:val="24"/>
          <w:szCs w:val="36"/>
        </w:rPr>
      </w:pPr>
      <w:r>
        <w:rPr>
          <w:rFonts w:ascii="宋体" w:eastAsia="宋体" w:hAnsi="宋体" w:cs="宋体" w:hint="eastAsia"/>
          <w:sz w:val="24"/>
          <w:szCs w:val="36"/>
        </w:rPr>
        <w:t>（4）施工单位应做好与项目内其他工作的交叉施工</w:t>
      </w:r>
    </w:p>
    <w:p w:rsidR="00C339CA" w:rsidRDefault="00C339CA" w:rsidP="00C339CA">
      <w:pPr>
        <w:rPr>
          <w:rFonts w:ascii="宋体" w:eastAsia="宋体" w:hAnsi="宋体" w:cs="宋体"/>
          <w:sz w:val="24"/>
          <w:szCs w:val="36"/>
        </w:rPr>
      </w:pPr>
      <w:r>
        <w:rPr>
          <w:rFonts w:ascii="宋体" w:eastAsia="宋体" w:hAnsi="宋体" w:cs="宋体" w:hint="eastAsia"/>
          <w:sz w:val="24"/>
          <w:szCs w:val="36"/>
        </w:rPr>
        <w:t>（5）规范处理施工垃圾</w:t>
      </w:r>
    </w:p>
    <w:p w:rsidR="00C339CA" w:rsidRDefault="00C339CA" w:rsidP="00C339CA">
      <w:pPr>
        <w:rPr>
          <w:rFonts w:ascii="宋体" w:eastAsia="宋体" w:hAnsi="宋体" w:cs="宋体"/>
          <w:sz w:val="24"/>
          <w:szCs w:val="36"/>
        </w:rPr>
      </w:pPr>
      <w:r>
        <w:rPr>
          <w:rFonts w:ascii="宋体" w:eastAsia="宋体" w:hAnsi="宋体" w:cs="宋体" w:hint="eastAsia"/>
          <w:sz w:val="24"/>
          <w:szCs w:val="36"/>
        </w:rPr>
        <w:t>（6）需具备一台洒水车</w:t>
      </w:r>
    </w:p>
    <w:p w:rsidR="00C339CA" w:rsidRDefault="00C339CA" w:rsidP="00C339CA">
      <w:pPr>
        <w:rPr>
          <w:rFonts w:ascii="Calibri" w:eastAsia="宋体" w:hAnsi="Calibri" w:cs="Times New Roman"/>
        </w:rPr>
      </w:pPr>
    </w:p>
    <w:p w:rsidR="00C339CA" w:rsidRDefault="00C339CA" w:rsidP="00C339CA">
      <w:pPr>
        <w:spacing w:line="500" w:lineRule="exact"/>
        <w:rPr>
          <w:rFonts w:ascii="Times New Roman" w:eastAsia="宋体" w:hAnsi="宋体" w:cs="Times New Roman"/>
          <w:szCs w:val="20"/>
        </w:rPr>
      </w:pPr>
      <w:r>
        <w:rPr>
          <w:rFonts w:ascii="Times New Roman" w:eastAsia="宋体" w:hAnsi="宋体" w:cs="Times New Roman" w:hint="eastAsia"/>
          <w:szCs w:val="20"/>
        </w:rPr>
        <w:t>注：</w:t>
      </w:r>
      <w:r>
        <w:rPr>
          <w:rFonts w:ascii="Times New Roman" w:eastAsia="宋体" w:hAnsi="宋体" w:cs="Times New Roman" w:hint="eastAsia"/>
          <w:szCs w:val="20"/>
        </w:rPr>
        <w:t xml:space="preserve"> 1</w:t>
      </w:r>
      <w:r>
        <w:rPr>
          <w:rFonts w:ascii="Times New Roman" w:eastAsia="宋体" w:hAnsi="宋体" w:cs="Times New Roman" w:hint="eastAsia"/>
          <w:szCs w:val="20"/>
        </w:rPr>
        <w:t>、本项目报价应报总价并须需提供明细单价报价，总价包含人工费、材料费、机械费、管理费、利润、风险等完成本项目所涉及的一切费用，采购人后期不再增加任何费用（总价作为定标依据，综合单价作为据实结算依据）。</w:t>
      </w:r>
    </w:p>
    <w:p w:rsidR="00C339CA" w:rsidRDefault="00C339CA" w:rsidP="00C339CA">
      <w:pPr>
        <w:spacing w:line="500" w:lineRule="exact"/>
        <w:rPr>
          <w:rFonts w:ascii="Times New Roman" w:eastAsia="宋体" w:hAnsi="宋体" w:cs="Times New Roman"/>
          <w:szCs w:val="20"/>
        </w:rPr>
      </w:pPr>
      <w:r>
        <w:rPr>
          <w:rFonts w:ascii="Times New Roman" w:eastAsia="宋体" w:hAnsi="宋体" w:cs="Times New Roman" w:hint="eastAsia"/>
          <w:szCs w:val="20"/>
        </w:rPr>
        <w:t>2</w:t>
      </w:r>
      <w:r>
        <w:rPr>
          <w:rFonts w:ascii="Times New Roman" w:eastAsia="宋体" w:hAnsi="宋体" w:cs="Times New Roman" w:hint="eastAsia"/>
          <w:szCs w:val="20"/>
        </w:rPr>
        <w:t>、结算说明：本次项目所需数量为暂定量，结算按照实际发生的数量乘以成交供应商所报综合单价据实结算。</w:t>
      </w:r>
    </w:p>
    <w:p w:rsidR="00C339CA" w:rsidRDefault="00C339CA" w:rsidP="00C339CA">
      <w:pPr>
        <w:spacing w:line="500" w:lineRule="exact"/>
        <w:rPr>
          <w:rFonts w:ascii="Times New Roman" w:eastAsia="宋体" w:hAnsi="宋体" w:cs="Times New Roman"/>
          <w:szCs w:val="20"/>
        </w:rPr>
      </w:pPr>
      <w:r>
        <w:rPr>
          <w:rFonts w:ascii="Times New Roman" w:eastAsia="宋体" w:hAnsi="宋体" w:cs="Times New Roman" w:hint="eastAsia"/>
          <w:szCs w:val="20"/>
        </w:rPr>
        <w:t>3</w:t>
      </w:r>
      <w:r>
        <w:rPr>
          <w:rFonts w:ascii="Times New Roman" w:eastAsia="宋体" w:hAnsi="宋体" w:cs="Times New Roman" w:hint="eastAsia"/>
          <w:szCs w:val="20"/>
        </w:rPr>
        <w:t>、各潜在供应商自行勘察现场，业主方不在另行组织；如因以测算数据报价造成投标方损失业主不承担责任。</w:t>
      </w:r>
    </w:p>
    <w:p w:rsidR="00C339CA" w:rsidRDefault="00C339CA" w:rsidP="00C339CA">
      <w:pPr>
        <w:spacing w:line="500" w:lineRule="exact"/>
        <w:rPr>
          <w:rFonts w:ascii="Times New Roman" w:eastAsia="宋体" w:hAnsi="宋体" w:cs="Times New Roman"/>
          <w:szCs w:val="20"/>
        </w:rPr>
      </w:pPr>
      <w:r>
        <w:rPr>
          <w:rFonts w:ascii="Times New Roman" w:eastAsia="宋体" w:hAnsi="宋体" w:cs="Times New Roman" w:hint="eastAsia"/>
          <w:szCs w:val="20"/>
        </w:rPr>
        <w:t>4</w:t>
      </w:r>
      <w:r>
        <w:rPr>
          <w:rFonts w:ascii="Times New Roman" w:eastAsia="宋体" w:hAnsi="宋体" w:cs="Times New Roman" w:hint="eastAsia"/>
          <w:szCs w:val="20"/>
        </w:rPr>
        <w:t>、其他：具体详见图纸、图集、招标文件、答疑、政府相关文件、规范等其它资料，满足验收要求。</w:t>
      </w:r>
    </w:p>
    <w:p w:rsidR="00CE50B9" w:rsidRDefault="00CE50B9"/>
    <w:sectPr w:rsidR="00CE50B9" w:rsidSect="00CE5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3AB" w:rsidRDefault="009C53AB" w:rsidP="00C339CA">
      <w:r>
        <w:separator/>
      </w:r>
    </w:p>
  </w:endnote>
  <w:endnote w:type="continuationSeparator" w:id="0">
    <w:p w:rsidR="009C53AB" w:rsidRDefault="009C53AB" w:rsidP="00C33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3AB" w:rsidRDefault="009C53AB" w:rsidP="00C339CA">
      <w:r>
        <w:separator/>
      </w:r>
    </w:p>
  </w:footnote>
  <w:footnote w:type="continuationSeparator" w:id="0">
    <w:p w:rsidR="009C53AB" w:rsidRDefault="009C53AB" w:rsidP="00C33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9CA"/>
    <w:rsid w:val="009C53AB"/>
    <w:rsid w:val="00C339CA"/>
    <w:rsid w:val="00CE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9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9CA"/>
    <w:rPr>
      <w:sz w:val="18"/>
      <w:szCs w:val="18"/>
    </w:rPr>
  </w:style>
  <w:style w:type="table" w:styleId="a5">
    <w:name w:val="Table Grid"/>
    <w:basedOn w:val="a1"/>
    <w:qFormat/>
    <w:rsid w:val="00C339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684</Characters>
  <Application>Microsoft Office Word</Application>
  <DocSecurity>0</DocSecurity>
  <Lines>5</Lines>
  <Paragraphs>1</Paragraphs>
  <ScaleCrop>false</ScaleCrop>
  <Company>china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2021-08-04T02:26:00Z</dcterms:created>
  <dcterms:modified xsi:type="dcterms:W3CDTF">2021-08-04T02:27:00Z</dcterms:modified>
</cp:coreProperties>
</file>