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D3F" w:rsidRDefault="00A80BC8" w:rsidP="00040D3F">
      <w:pPr>
        <w:keepNext/>
        <w:keepLines/>
        <w:spacing w:before="260" w:after="260" w:line="416" w:lineRule="auto"/>
        <w:jc w:val="center"/>
        <w:outlineLvl w:val="2"/>
        <w:rPr>
          <w:rFonts w:ascii="宋体" w:eastAsia="宋体" w:hAnsi="Times New Roman" w:cs="Times New Roman"/>
          <w:b/>
          <w:bCs/>
          <w:sz w:val="32"/>
          <w:szCs w:val="32"/>
        </w:rPr>
      </w:pPr>
      <w:bookmarkStart w:id="0" w:name="_Toc293560326"/>
      <w:bookmarkStart w:id="1" w:name="_Toc20908"/>
      <w:bookmarkStart w:id="2" w:name="_Toc4438"/>
      <w:bookmarkStart w:id="3" w:name="_Toc8414"/>
      <w:bookmarkStart w:id="4" w:name="_Toc462234311"/>
      <w:bookmarkStart w:id="5" w:name="_Toc16216"/>
      <w:bookmarkStart w:id="6" w:name="_Toc5101"/>
      <w:bookmarkStart w:id="7" w:name="_Toc482084458"/>
      <w:r w:rsidRPr="00A80BC8">
        <w:rPr>
          <w:rFonts w:ascii="宋体" w:eastAsia="宋体" w:hAnsi="Times New Roman" w:cs="Times New Roman" w:hint="eastAsia"/>
          <w:b/>
          <w:bCs/>
          <w:sz w:val="32"/>
          <w:szCs w:val="32"/>
        </w:rPr>
        <w:t>宿州站涉铁市政道路改造工程-银河一路上跨京沪铁路立交交通标牌、限高架采购项目</w:t>
      </w:r>
      <w:r w:rsidR="00040D3F">
        <w:rPr>
          <w:rFonts w:ascii="宋体" w:eastAsia="宋体" w:hAnsi="Times New Roman" w:cs="Times New Roman" w:hint="eastAsia"/>
          <w:b/>
          <w:bCs/>
          <w:sz w:val="32"/>
          <w:szCs w:val="32"/>
        </w:rPr>
        <w:t>货物服务</w:t>
      </w:r>
      <w:bookmarkEnd w:id="0"/>
      <w:r w:rsidR="00040D3F">
        <w:rPr>
          <w:rFonts w:ascii="宋体" w:eastAsia="宋体" w:hAnsi="Times New Roman" w:cs="Times New Roman" w:hint="eastAsia"/>
          <w:b/>
          <w:bCs/>
          <w:sz w:val="32"/>
          <w:szCs w:val="32"/>
        </w:rPr>
        <w:t>清单及技术要求</w:t>
      </w:r>
      <w:bookmarkEnd w:id="1"/>
      <w:r w:rsidR="00040D3F">
        <w:rPr>
          <w:rFonts w:ascii="宋体" w:eastAsia="宋体" w:hAnsi="Times New Roman" w:cs="Times New Roman" w:hint="eastAsia"/>
          <w:b/>
          <w:bCs/>
          <w:sz w:val="32"/>
          <w:szCs w:val="32"/>
        </w:rPr>
        <w:t>/服务需求</w:t>
      </w:r>
      <w:bookmarkEnd w:id="2"/>
      <w:bookmarkEnd w:id="3"/>
      <w:bookmarkEnd w:id="4"/>
      <w:bookmarkEnd w:id="5"/>
      <w:bookmarkEnd w:id="6"/>
      <w:bookmarkEnd w:id="7"/>
      <w:r w:rsidR="00040D3F">
        <w:rPr>
          <w:rFonts w:ascii="宋体" w:eastAsia="宋体" w:hAnsi="Times New Roman" w:cs="Times New Roman" w:hint="eastAsia"/>
          <w:b/>
          <w:bCs/>
          <w:sz w:val="32"/>
          <w:szCs w:val="32"/>
        </w:rPr>
        <w:t xml:space="preserve"> </w:t>
      </w:r>
    </w:p>
    <w:p w:rsidR="00040D3F" w:rsidRDefault="00040D3F" w:rsidP="00040D3F">
      <w:pPr>
        <w:keepNext/>
        <w:keepLines/>
        <w:spacing w:before="260" w:after="260" w:line="416" w:lineRule="auto"/>
        <w:outlineLvl w:val="2"/>
        <w:rPr>
          <w:rFonts w:ascii="宋体" w:eastAsia="宋体" w:hAnsi="Times New Roman" w:cs="Times New Roman"/>
          <w:b/>
          <w:bCs/>
          <w:sz w:val="32"/>
          <w:szCs w:val="32"/>
        </w:rPr>
      </w:pPr>
      <w:r>
        <w:rPr>
          <w:rFonts w:ascii="宋体" w:eastAsia="宋体" w:hAnsi="宋体" w:cs="宋体" w:hint="eastAsia"/>
          <w:b/>
          <w:sz w:val="24"/>
          <w:szCs w:val="32"/>
        </w:rPr>
        <w:t>（一）交通标识标牌的规格尺寸及要求</w:t>
      </w:r>
    </w:p>
    <w:tbl>
      <w:tblPr>
        <w:tblStyle w:val="a5"/>
        <w:tblW w:w="9923" w:type="dxa"/>
        <w:tblInd w:w="-601" w:type="dxa"/>
        <w:tblLook w:val="04A0"/>
      </w:tblPr>
      <w:tblGrid>
        <w:gridCol w:w="1139"/>
        <w:gridCol w:w="1351"/>
        <w:gridCol w:w="1459"/>
        <w:gridCol w:w="1632"/>
        <w:gridCol w:w="1410"/>
        <w:gridCol w:w="522"/>
        <w:gridCol w:w="709"/>
        <w:gridCol w:w="1701"/>
      </w:tblGrid>
      <w:tr w:rsidR="00040D3F" w:rsidTr="008544AC">
        <w:trPr>
          <w:trHeight w:val="730"/>
        </w:trPr>
        <w:tc>
          <w:tcPr>
            <w:tcW w:w="1139" w:type="dxa"/>
            <w:vMerge w:val="restart"/>
            <w:vAlign w:val="center"/>
          </w:tcPr>
          <w:p w:rsidR="00040D3F" w:rsidRDefault="00040D3F" w:rsidP="008544AC">
            <w:pPr>
              <w:jc w:val="center"/>
              <w:rPr>
                <w:rFonts w:ascii="Calibri" w:hAnsi="Calibri"/>
                <w:szCs w:val="24"/>
              </w:rPr>
            </w:pPr>
            <w:r>
              <w:rPr>
                <w:rFonts w:ascii="Calibri" w:hAnsi="Calibri" w:hint="eastAsia"/>
                <w:szCs w:val="24"/>
              </w:rPr>
              <w:t>名称</w:t>
            </w:r>
          </w:p>
        </w:tc>
        <w:tc>
          <w:tcPr>
            <w:tcW w:w="5852" w:type="dxa"/>
            <w:gridSpan w:val="4"/>
            <w:vAlign w:val="center"/>
          </w:tcPr>
          <w:p w:rsidR="00040D3F" w:rsidRDefault="00040D3F" w:rsidP="008544AC">
            <w:pPr>
              <w:jc w:val="center"/>
              <w:rPr>
                <w:rFonts w:ascii="Calibri" w:hAnsi="Calibri"/>
                <w:szCs w:val="24"/>
              </w:rPr>
            </w:pPr>
            <w:r>
              <w:rPr>
                <w:rFonts w:ascii="Calibri" w:hAnsi="Calibri" w:hint="eastAsia"/>
                <w:szCs w:val="24"/>
              </w:rPr>
              <w:t>规格</w:t>
            </w:r>
            <w:r>
              <w:rPr>
                <w:rFonts w:ascii="Calibri" w:hAnsi="Calibri" w:hint="eastAsia"/>
                <w:szCs w:val="24"/>
              </w:rPr>
              <w:t>(mm)</w:t>
            </w:r>
          </w:p>
        </w:tc>
        <w:tc>
          <w:tcPr>
            <w:tcW w:w="522" w:type="dxa"/>
            <w:vMerge w:val="restart"/>
            <w:vAlign w:val="center"/>
          </w:tcPr>
          <w:p w:rsidR="00040D3F" w:rsidRDefault="00040D3F" w:rsidP="008544AC">
            <w:pPr>
              <w:jc w:val="center"/>
              <w:rPr>
                <w:rFonts w:ascii="Calibri" w:hAnsi="Calibri"/>
                <w:szCs w:val="24"/>
              </w:rPr>
            </w:pPr>
            <w:r>
              <w:rPr>
                <w:rFonts w:ascii="Calibri" w:hAnsi="Calibri" w:hint="eastAsia"/>
                <w:szCs w:val="24"/>
              </w:rPr>
              <w:t>单位</w:t>
            </w:r>
          </w:p>
        </w:tc>
        <w:tc>
          <w:tcPr>
            <w:tcW w:w="709" w:type="dxa"/>
            <w:vMerge w:val="restart"/>
            <w:vAlign w:val="center"/>
          </w:tcPr>
          <w:p w:rsidR="00040D3F" w:rsidRDefault="00040D3F" w:rsidP="008544AC">
            <w:pPr>
              <w:jc w:val="center"/>
              <w:rPr>
                <w:rFonts w:ascii="Calibri" w:hAnsi="Calibri"/>
                <w:szCs w:val="24"/>
              </w:rPr>
            </w:pPr>
            <w:r>
              <w:rPr>
                <w:rFonts w:ascii="Calibri" w:hAnsi="Calibri" w:hint="eastAsia"/>
                <w:szCs w:val="24"/>
              </w:rPr>
              <w:t>数量</w:t>
            </w:r>
          </w:p>
        </w:tc>
        <w:tc>
          <w:tcPr>
            <w:tcW w:w="1701" w:type="dxa"/>
            <w:vMerge w:val="restart"/>
            <w:vAlign w:val="center"/>
          </w:tcPr>
          <w:p w:rsidR="00040D3F" w:rsidRDefault="00040D3F" w:rsidP="008544AC">
            <w:pPr>
              <w:jc w:val="center"/>
              <w:rPr>
                <w:rFonts w:ascii="Calibri" w:hAnsi="Calibri"/>
                <w:szCs w:val="24"/>
              </w:rPr>
            </w:pPr>
            <w:r>
              <w:rPr>
                <w:rFonts w:ascii="Calibri" w:hAnsi="Calibri" w:hint="eastAsia"/>
                <w:szCs w:val="24"/>
              </w:rPr>
              <w:t>备注</w:t>
            </w:r>
          </w:p>
        </w:tc>
      </w:tr>
      <w:tr w:rsidR="00040D3F" w:rsidTr="008544AC">
        <w:trPr>
          <w:trHeight w:val="665"/>
        </w:trPr>
        <w:tc>
          <w:tcPr>
            <w:tcW w:w="1139" w:type="dxa"/>
            <w:vMerge/>
            <w:vAlign w:val="center"/>
          </w:tcPr>
          <w:p w:rsidR="00040D3F" w:rsidRDefault="00040D3F" w:rsidP="008544AC">
            <w:pPr>
              <w:jc w:val="center"/>
              <w:rPr>
                <w:rFonts w:ascii="Calibri" w:hAnsi="Calibri"/>
                <w:szCs w:val="24"/>
              </w:rPr>
            </w:pPr>
          </w:p>
        </w:tc>
        <w:tc>
          <w:tcPr>
            <w:tcW w:w="1351" w:type="dxa"/>
            <w:vAlign w:val="center"/>
          </w:tcPr>
          <w:p w:rsidR="00040D3F" w:rsidRDefault="00040D3F" w:rsidP="008544AC">
            <w:pPr>
              <w:jc w:val="center"/>
              <w:rPr>
                <w:rFonts w:ascii="Calibri" w:hAnsi="Calibri"/>
                <w:szCs w:val="24"/>
              </w:rPr>
            </w:pPr>
            <w:r>
              <w:rPr>
                <w:rFonts w:ascii="Calibri" w:hAnsi="Calibri" w:hint="eastAsia"/>
                <w:szCs w:val="24"/>
              </w:rPr>
              <w:t>板面规格</w:t>
            </w:r>
          </w:p>
        </w:tc>
        <w:tc>
          <w:tcPr>
            <w:tcW w:w="1459" w:type="dxa"/>
            <w:vAlign w:val="center"/>
          </w:tcPr>
          <w:p w:rsidR="00040D3F" w:rsidRDefault="00040D3F" w:rsidP="008544AC">
            <w:pPr>
              <w:jc w:val="center"/>
              <w:rPr>
                <w:rFonts w:ascii="Calibri" w:hAnsi="Calibri"/>
                <w:szCs w:val="24"/>
              </w:rPr>
            </w:pPr>
            <w:r>
              <w:rPr>
                <w:rFonts w:ascii="Calibri" w:hAnsi="Calibri" w:hint="eastAsia"/>
                <w:szCs w:val="24"/>
              </w:rPr>
              <w:t>立柱、单悬臂规格</w:t>
            </w:r>
          </w:p>
        </w:tc>
        <w:tc>
          <w:tcPr>
            <w:tcW w:w="1632" w:type="dxa"/>
            <w:vAlign w:val="center"/>
          </w:tcPr>
          <w:p w:rsidR="00040D3F" w:rsidRDefault="00040D3F" w:rsidP="008544AC">
            <w:pPr>
              <w:jc w:val="center"/>
              <w:rPr>
                <w:rFonts w:ascii="Calibri" w:hAnsi="Calibri"/>
                <w:szCs w:val="24"/>
              </w:rPr>
            </w:pPr>
            <w:r>
              <w:rPr>
                <w:rFonts w:ascii="Calibri" w:hAnsi="Calibri" w:hint="eastAsia"/>
                <w:szCs w:val="24"/>
              </w:rPr>
              <w:t>基础规格</w:t>
            </w:r>
          </w:p>
        </w:tc>
        <w:tc>
          <w:tcPr>
            <w:tcW w:w="1410" w:type="dxa"/>
            <w:vAlign w:val="center"/>
          </w:tcPr>
          <w:p w:rsidR="00040D3F" w:rsidRDefault="00040D3F" w:rsidP="008544AC">
            <w:pPr>
              <w:jc w:val="center"/>
              <w:rPr>
                <w:rFonts w:ascii="Calibri" w:hAnsi="Calibri"/>
                <w:szCs w:val="24"/>
              </w:rPr>
            </w:pPr>
            <w:r>
              <w:rPr>
                <w:rFonts w:ascii="Calibri" w:hAnsi="Calibri" w:hint="eastAsia"/>
                <w:szCs w:val="24"/>
              </w:rPr>
              <w:t>预埋件规格</w:t>
            </w:r>
          </w:p>
        </w:tc>
        <w:tc>
          <w:tcPr>
            <w:tcW w:w="522" w:type="dxa"/>
            <w:vMerge/>
            <w:vAlign w:val="center"/>
          </w:tcPr>
          <w:p w:rsidR="00040D3F" w:rsidRDefault="00040D3F" w:rsidP="008544AC">
            <w:pPr>
              <w:jc w:val="center"/>
              <w:rPr>
                <w:rFonts w:ascii="Calibri" w:hAnsi="Calibri"/>
                <w:szCs w:val="24"/>
              </w:rPr>
            </w:pPr>
          </w:p>
        </w:tc>
        <w:tc>
          <w:tcPr>
            <w:tcW w:w="709" w:type="dxa"/>
            <w:vMerge/>
            <w:vAlign w:val="center"/>
          </w:tcPr>
          <w:p w:rsidR="00040D3F" w:rsidRDefault="00040D3F" w:rsidP="008544AC">
            <w:pPr>
              <w:jc w:val="center"/>
              <w:rPr>
                <w:rFonts w:ascii="Calibri" w:hAnsi="Calibri"/>
                <w:szCs w:val="24"/>
              </w:rPr>
            </w:pPr>
          </w:p>
        </w:tc>
        <w:tc>
          <w:tcPr>
            <w:tcW w:w="1701" w:type="dxa"/>
            <w:vMerge/>
            <w:vAlign w:val="center"/>
          </w:tcPr>
          <w:p w:rsidR="00040D3F" w:rsidRDefault="00040D3F" w:rsidP="008544AC">
            <w:pPr>
              <w:jc w:val="center"/>
              <w:rPr>
                <w:rFonts w:ascii="Calibri" w:hAnsi="Calibri"/>
                <w:szCs w:val="24"/>
              </w:rPr>
            </w:pPr>
          </w:p>
        </w:tc>
      </w:tr>
      <w:tr w:rsidR="00040D3F" w:rsidTr="008544AC">
        <w:trPr>
          <w:trHeight w:val="1110"/>
        </w:trPr>
        <w:tc>
          <w:tcPr>
            <w:tcW w:w="1139" w:type="dxa"/>
            <w:vAlign w:val="center"/>
          </w:tcPr>
          <w:p w:rsidR="00040D3F" w:rsidRDefault="00040D3F" w:rsidP="008544AC">
            <w:pPr>
              <w:jc w:val="center"/>
              <w:rPr>
                <w:rFonts w:ascii="Calibri" w:hAnsi="Calibri"/>
                <w:szCs w:val="24"/>
              </w:rPr>
            </w:pPr>
            <w:r>
              <w:rPr>
                <w:rFonts w:ascii="Calibri" w:hAnsi="Calibri" w:hint="eastAsia"/>
                <w:szCs w:val="24"/>
              </w:rPr>
              <w:t>指示标志</w:t>
            </w:r>
          </w:p>
        </w:tc>
        <w:tc>
          <w:tcPr>
            <w:tcW w:w="1351" w:type="dxa"/>
            <w:vAlign w:val="center"/>
          </w:tcPr>
          <w:p w:rsidR="00040D3F" w:rsidRDefault="00040D3F" w:rsidP="008544AC">
            <w:pPr>
              <w:jc w:val="center"/>
              <w:rPr>
                <w:rFonts w:ascii="Calibri" w:hAnsi="Calibri"/>
                <w:szCs w:val="24"/>
              </w:rPr>
            </w:pPr>
            <w:r>
              <w:rPr>
                <w:rFonts w:ascii="Calibri" w:hAnsi="Calibri" w:hint="eastAsia"/>
                <w:szCs w:val="24"/>
              </w:rPr>
              <w:t>2500*5000</w:t>
            </w:r>
          </w:p>
        </w:tc>
        <w:tc>
          <w:tcPr>
            <w:tcW w:w="1459" w:type="dxa"/>
            <w:vAlign w:val="center"/>
          </w:tcPr>
          <w:p w:rsidR="00040D3F" w:rsidRDefault="00040D3F" w:rsidP="008544AC">
            <w:pPr>
              <w:jc w:val="center"/>
              <w:rPr>
                <w:rFonts w:ascii="Calibri" w:hAnsi="Calibri"/>
                <w:szCs w:val="24"/>
              </w:rPr>
            </w:pPr>
            <w:r>
              <w:rPr>
                <w:rFonts w:ascii="Calibri" w:hAnsi="Calibri" w:hint="eastAsia"/>
                <w:szCs w:val="24"/>
              </w:rPr>
              <w:t>325*7800*10</w:t>
            </w:r>
          </w:p>
        </w:tc>
        <w:tc>
          <w:tcPr>
            <w:tcW w:w="1632" w:type="dxa"/>
            <w:vAlign w:val="center"/>
          </w:tcPr>
          <w:p w:rsidR="00040D3F" w:rsidRDefault="00040D3F" w:rsidP="008544AC">
            <w:pPr>
              <w:jc w:val="center"/>
              <w:rPr>
                <w:rFonts w:ascii="Calibri" w:hAnsi="Calibri"/>
                <w:szCs w:val="24"/>
              </w:rPr>
            </w:pPr>
            <w:r>
              <w:rPr>
                <w:rFonts w:ascii="Calibri" w:hAnsi="Calibri" w:hint="eastAsia"/>
                <w:szCs w:val="24"/>
              </w:rPr>
              <w:t>1500*1500*1800</w:t>
            </w:r>
          </w:p>
        </w:tc>
        <w:tc>
          <w:tcPr>
            <w:tcW w:w="1410" w:type="dxa"/>
            <w:vAlign w:val="center"/>
          </w:tcPr>
          <w:p w:rsidR="00040D3F" w:rsidRDefault="00040D3F" w:rsidP="008544AC">
            <w:pPr>
              <w:jc w:val="center"/>
              <w:rPr>
                <w:rFonts w:ascii="Calibri" w:hAnsi="Calibri"/>
                <w:szCs w:val="24"/>
              </w:rPr>
            </w:pPr>
            <w:r>
              <w:rPr>
                <w:rFonts w:ascii="Calibri" w:hAnsi="Calibri" w:hint="eastAsia"/>
                <w:szCs w:val="24"/>
              </w:rPr>
              <w:t>30*1500*8</w:t>
            </w:r>
          </w:p>
        </w:tc>
        <w:tc>
          <w:tcPr>
            <w:tcW w:w="522" w:type="dxa"/>
            <w:vAlign w:val="center"/>
          </w:tcPr>
          <w:p w:rsidR="00040D3F" w:rsidRDefault="00040D3F" w:rsidP="008544AC">
            <w:pPr>
              <w:jc w:val="center"/>
              <w:rPr>
                <w:rFonts w:ascii="Calibri" w:hAnsi="Calibri"/>
                <w:szCs w:val="24"/>
              </w:rPr>
            </w:pPr>
            <w:r>
              <w:rPr>
                <w:rFonts w:ascii="Calibri" w:hAnsi="Calibri" w:hint="eastAsia"/>
                <w:szCs w:val="24"/>
              </w:rPr>
              <w:t>套</w:t>
            </w:r>
          </w:p>
        </w:tc>
        <w:tc>
          <w:tcPr>
            <w:tcW w:w="709" w:type="dxa"/>
            <w:vAlign w:val="center"/>
          </w:tcPr>
          <w:p w:rsidR="00040D3F" w:rsidRDefault="00040D3F" w:rsidP="008544AC">
            <w:pPr>
              <w:jc w:val="center"/>
              <w:rPr>
                <w:rFonts w:ascii="Calibri" w:hAnsi="Calibri"/>
                <w:szCs w:val="24"/>
              </w:rPr>
            </w:pPr>
            <w:r>
              <w:rPr>
                <w:rFonts w:ascii="Calibri" w:hAnsi="Calibri" w:hint="eastAsia"/>
                <w:szCs w:val="24"/>
              </w:rPr>
              <w:t>4</w:t>
            </w:r>
          </w:p>
        </w:tc>
        <w:tc>
          <w:tcPr>
            <w:tcW w:w="1701" w:type="dxa"/>
            <w:vAlign w:val="center"/>
          </w:tcPr>
          <w:p w:rsidR="00040D3F" w:rsidRDefault="00040D3F" w:rsidP="008544AC">
            <w:pPr>
              <w:jc w:val="left"/>
              <w:rPr>
                <w:rFonts w:ascii="Calibri" w:hAnsi="Calibri"/>
                <w:szCs w:val="24"/>
              </w:rPr>
            </w:pPr>
            <w:r>
              <w:rPr>
                <w:rFonts w:ascii="Calibri" w:hAnsi="Calibri" w:hint="eastAsia"/>
                <w:szCs w:val="24"/>
              </w:rPr>
              <w:t>指示标志牌铝板厚度</w:t>
            </w:r>
            <w:r>
              <w:rPr>
                <w:rFonts w:ascii="Calibri" w:hAnsi="Calibri" w:hint="eastAsia"/>
                <w:szCs w:val="24"/>
              </w:rPr>
              <w:t>3mm</w:t>
            </w:r>
            <w:r>
              <w:rPr>
                <w:rFonts w:ascii="Calibri" w:hAnsi="Calibri" w:hint="eastAsia"/>
                <w:szCs w:val="24"/>
              </w:rPr>
              <w:t>，反光膜：</w:t>
            </w:r>
            <w:r>
              <w:rPr>
                <w:rFonts w:ascii="Calibri" w:hAnsi="Calibri" w:hint="eastAsia"/>
                <w:szCs w:val="24"/>
              </w:rPr>
              <w:t>3M  IV</w:t>
            </w:r>
            <w:r>
              <w:rPr>
                <w:rFonts w:ascii="Calibri" w:hAnsi="Calibri" w:hint="eastAsia"/>
                <w:szCs w:val="24"/>
              </w:rPr>
              <w:t>级</w:t>
            </w:r>
            <w:r>
              <w:rPr>
                <w:rFonts w:ascii="Calibri" w:hAnsi="Calibri" w:hint="eastAsia"/>
                <w:szCs w:val="24"/>
              </w:rPr>
              <w:t xml:space="preserve">  </w:t>
            </w:r>
            <w:r>
              <w:rPr>
                <w:rFonts w:ascii="Calibri" w:hAnsi="Calibri" w:hint="eastAsia"/>
                <w:szCs w:val="24"/>
              </w:rPr>
              <w:t>标牌杆件热镀锌，基础混凝土</w:t>
            </w:r>
            <w:r>
              <w:rPr>
                <w:rFonts w:ascii="Calibri" w:hAnsi="Calibri" w:hint="eastAsia"/>
                <w:szCs w:val="24"/>
              </w:rPr>
              <w:t>C30</w:t>
            </w:r>
          </w:p>
        </w:tc>
      </w:tr>
      <w:tr w:rsidR="00040D3F" w:rsidTr="008544AC">
        <w:trPr>
          <w:trHeight w:val="1145"/>
        </w:trPr>
        <w:tc>
          <w:tcPr>
            <w:tcW w:w="1139" w:type="dxa"/>
            <w:vAlign w:val="center"/>
          </w:tcPr>
          <w:p w:rsidR="00040D3F" w:rsidRDefault="00040D3F" w:rsidP="008544AC">
            <w:pPr>
              <w:jc w:val="center"/>
              <w:rPr>
                <w:rFonts w:ascii="Calibri" w:hAnsi="Calibri"/>
                <w:szCs w:val="24"/>
              </w:rPr>
            </w:pPr>
            <w:r>
              <w:rPr>
                <w:rFonts w:ascii="Calibri" w:hAnsi="Calibri" w:hint="eastAsia"/>
                <w:szCs w:val="24"/>
              </w:rPr>
              <w:t>禁令标志</w:t>
            </w:r>
          </w:p>
        </w:tc>
        <w:tc>
          <w:tcPr>
            <w:tcW w:w="1351" w:type="dxa"/>
            <w:vAlign w:val="center"/>
          </w:tcPr>
          <w:p w:rsidR="00040D3F" w:rsidRDefault="00040D3F" w:rsidP="008544AC">
            <w:pPr>
              <w:jc w:val="center"/>
              <w:rPr>
                <w:rFonts w:ascii="Calibri" w:hAnsi="Calibri"/>
                <w:szCs w:val="24"/>
              </w:rPr>
            </w:pPr>
            <w:r>
              <w:rPr>
                <w:rFonts w:ascii="Calibri" w:hAnsi="Calibri" w:hint="eastAsia"/>
                <w:szCs w:val="24"/>
              </w:rPr>
              <w:t>1000</w:t>
            </w:r>
          </w:p>
        </w:tc>
        <w:tc>
          <w:tcPr>
            <w:tcW w:w="1459" w:type="dxa"/>
            <w:vAlign w:val="center"/>
          </w:tcPr>
          <w:p w:rsidR="00040D3F" w:rsidRDefault="00040D3F" w:rsidP="008544AC">
            <w:pPr>
              <w:jc w:val="center"/>
              <w:rPr>
                <w:rFonts w:ascii="Calibri" w:hAnsi="Calibri"/>
                <w:szCs w:val="24"/>
              </w:rPr>
            </w:pPr>
            <w:r>
              <w:rPr>
                <w:rFonts w:ascii="Calibri" w:hAnsi="Calibri" w:hint="eastAsia"/>
                <w:szCs w:val="24"/>
              </w:rPr>
              <w:t>159*6600*7</w:t>
            </w:r>
          </w:p>
        </w:tc>
        <w:tc>
          <w:tcPr>
            <w:tcW w:w="1632" w:type="dxa"/>
            <w:vAlign w:val="center"/>
          </w:tcPr>
          <w:p w:rsidR="00040D3F" w:rsidRDefault="00040D3F" w:rsidP="008544AC">
            <w:pPr>
              <w:jc w:val="center"/>
              <w:rPr>
                <w:rFonts w:ascii="Calibri" w:hAnsi="Calibri"/>
                <w:szCs w:val="24"/>
              </w:rPr>
            </w:pPr>
          </w:p>
        </w:tc>
        <w:tc>
          <w:tcPr>
            <w:tcW w:w="1410" w:type="dxa"/>
            <w:vAlign w:val="center"/>
          </w:tcPr>
          <w:p w:rsidR="00040D3F" w:rsidRDefault="00040D3F" w:rsidP="008544AC">
            <w:pPr>
              <w:jc w:val="center"/>
              <w:rPr>
                <w:rFonts w:ascii="Calibri" w:hAnsi="Calibri"/>
                <w:szCs w:val="24"/>
              </w:rPr>
            </w:pPr>
          </w:p>
        </w:tc>
        <w:tc>
          <w:tcPr>
            <w:tcW w:w="522" w:type="dxa"/>
            <w:vAlign w:val="center"/>
          </w:tcPr>
          <w:p w:rsidR="00040D3F" w:rsidRDefault="00040D3F" w:rsidP="008544AC">
            <w:pPr>
              <w:jc w:val="center"/>
              <w:rPr>
                <w:rFonts w:ascii="Calibri" w:hAnsi="Calibri"/>
                <w:szCs w:val="24"/>
              </w:rPr>
            </w:pPr>
            <w:r>
              <w:rPr>
                <w:rFonts w:ascii="Calibri" w:hAnsi="Calibri" w:hint="eastAsia"/>
                <w:szCs w:val="24"/>
              </w:rPr>
              <w:t>套</w:t>
            </w:r>
          </w:p>
        </w:tc>
        <w:tc>
          <w:tcPr>
            <w:tcW w:w="709" w:type="dxa"/>
            <w:vAlign w:val="center"/>
          </w:tcPr>
          <w:p w:rsidR="00040D3F" w:rsidRDefault="00040D3F" w:rsidP="008544AC">
            <w:pPr>
              <w:jc w:val="center"/>
              <w:rPr>
                <w:rFonts w:ascii="Calibri" w:hAnsi="Calibri"/>
                <w:szCs w:val="24"/>
              </w:rPr>
            </w:pPr>
            <w:r>
              <w:rPr>
                <w:rFonts w:ascii="Calibri" w:hAnsi="Calibri" w:hint="eastAsia"/>
                <w:szCs w:val="24"/>
              </w:rPr>
              <w:t>12</w:t>
            </w:r>
          </w:p>
        </w:tc>
        <w:tc>
          <w:tcPr>
            <w:tcW w:w="1701" w:type="dxa"/>
            <w:vAlign w:val="center"/>
          </w:tcPr>
          <w:p w:rsidR="00040D3F" w:rsidRDefault="00040D3F" w:rsidP="008544AC">
            <w:pPr>
              <w:jc w:val="left"/>
              <w:rPr>
                <w:rFonts w:ascii="Calibri" w:hAnsi="Calibri"/>
                <w:szCs w:val="24"/>
              </w:rPr>
            </w:pPr>
            <w:r>
              <w:rPr>
                <w:rFonts w:ascii="Calibri" w:hAnsi="Calibri" w:hint="eastAsia"/>
                <w:szCs w:val="24"/>
              </w:rPr>
              <w:t>禁令标志牌铝板厚度</w:t>
            </w:r>
            <w:r>
              <w:rPr>
                <w:rFonts w:ascii="Calibri" w:hAnsi="Calibri" w:hint="eastAsia"/>
                <w:szCs w:val="24"/>
              </w:rPr>
              <w:t>2mm</w:t>
            </w:r>
            <w:r>
              <w:rPr>
                <w:rFonts w:ascii="Calibri" w:hAnsi="Calibri" w:hint="eastAsia"/>
                <w:szCs w:val="24"/>
              </w:rPr>
              <w:t>，反光膜：</w:t>
            </w:r>
            <w:r>
              <w:rPr>
                <w:rFonts w:ascii="Calibri" w:hAnsi="Calibri" w:hint="eastAsia"/>
                <w:szCs w:val="24"/>
              </w:rPr>
              <w:t>3M  IV</w:t>
            </w:r>
            <w:r>
              <w:rPr>
                <w:rFonts w:ascii="Calibri" w:hAnsi="Calibri" w:hint="eastAsia"/>
                <w:szCs w:val="24"/>
              </w:rPr>
              <w:t>级</w:t>
            </w:r>
          </w:p>
        </w:tc>
      </w:tr>
      <w:tr w:rsidR="00040D3F" w:rsidTr="008544AC">
        <w:trPr>
          <w:trHeight w:val="1145"/>
        </w:trPr>
        <w:tc>
          <w:tcPr>
            <w:tcW w:w="1139" w:type="dxa"/>
            <w:vAlign w:val="center"/>
          </w:tcPr>
          <w:p w:rsidR="00040D3F" w:rsidRDefault="00040D3F" w:rsidP="008544AC">
            <w:pPr>
              <w:jc w:val="center"/>
              <w:rPr>
                <w:rFonts w:ascii="Calibri" w:hAnsi="Calibri"/>
                <w:szCs w:val="24"/>
              </w:rPr>
            </w:pPr>
            <w:r>
              <w:rPr>
                <w:rFonts w:ascii="Calibri" w:hAnsi="Calibri" w:hint="eastAsia"/>
                <w:szCs w:val="24"/>
              </w:rPr>
              <w:t>限高架</w:t>
            </w:r>
          </w:p>
        </w:tc>
        <w:tc>
          <w:tcPr>
            <w:tcW w:w="1351" w:type="dxa"/>
            <w:vAlign w:val="center"/>
          </w:tcPr>
          <w:p w:rsidR="00040D3F" w:rsidRDefault="00040D3F" w:rsidP="008544AC">
            <w:pPr>
              <w:jc w:val="center"/>
              <w:rPr>
                <w:rFonts w:ascii="Calibri" w:hAnsi="Calibri"/>
                <w:szCs w:val="24"/>
              </w:rPr>
            </w:pPr>
          </w:p>
        </w:tc>
        <w:tc>
          <w:tcPr>
            <w:tcW w:w="1459" w:type="dxa"/>
            <w:vAlign w:val="center"/>
          </w:tcPr>
          <w:p w:rsidR="00040D3F" w:rsidRDefault="00040D3F" w:rsidP="008544AC">
            <w:pPr>
              <w:jc w:val="center"/>
              <w:rPr>
                <w:rFonts w:ascii="Calibri" w:hAnsi="Calibri"/>
                <w:szCs w:val="24"/>
              </w:rPr>
            </w:pPr>
          </w:p>
        </w:tc>
        <w:tc>
          <w:tcPr>
            <w:tcW w:w="1632" w:type="dxa"/>
            <w:vAlign w:val="center"/>
          </w:tcPr>
          <w:p w:rsidR="00040D3F" w:rsidRDefault="00040D3F" w:rsidP="008544AC">
            <w:pPr>
              <w:jc w:val="center"/>
              <w:rPr>
                <w:rFonts w:ascii="Calibri" w:hAnsi="Calibri"/>
                <w:szCs w:val="24"/>
              </w:rPr>
            </w:pPr>
          </w:p>
        </w:tc>
        <w:tc>
          <w:tcPr>
            <w:tcW w:w="1410" w:type="dxa"/>
            <w:vAlign w:val="center"/>
          </w:tcPr>
          <w:p w:rsidR="00040D3F" w:rsidRDefault="00040D3F" w:rsidP="008544AC">
            <w:pPr>
              <w:jc w:val="center"/>
              <w:rPr>
                <w:rFonts w:ascii="Calibri" w:hAnsi="Calibri"/>
                <w:szCs w:val="24"/>
              </w:rPr>
            </w:pPr>
          </w:p>
        </w:tc>
        <w:tc>
          <w:tcPr>
            <w:tcW w:w="522" w:type="dxa"/>
            <w:vAlign w:val="center"/>
          </w:tcPr>
          <w:p w:rsidR="00040D3F" w:rsidRDefault="00040D3F" w:rsidP="008544AC">
            <w:pPr>
              <w:jc w:val="center"/>
              <w:rPr>
                <w:rFonts w:ascii="Calibri" w:hAnsi="Calibri"/>
                <w:szCs w:val="24"/>
              </w:rPr>
            </w:pPr>
            <w:r>
              <w:rPr>
                <w:rFonts w:ascii="Calibri" w:hAnsi="Calibri" w:hint="eastAsia"/>
                <w:szCs w:val="24"/>
              </w:rPr>
              <w:t>套</w:t>
            </w:r>
          </w:p>
        </w:tc>
        <w:tc>
          <w:tcPr>
            <w:tcW w:w="709" w:type="dxa"/>
            <w:vAlign w:val="center"/>
          </w:tcPr>
          <w:p w:rsidR="00040D3F" w:rsidRDefault="00040D3F" w:rsidP="008544AC">
            <w:pPr>
              <w:jc w:val="center"/>
              <w:rPr>
                <w:rFonts w:ascii="Calibri" w:hAnsi="Calibri"/>
                <w:szCs w:val="24"/>
              </w:rPr>
            </w:pPr>
            <w:r>
              <w:rPr>
                <w:rFonts w:ascii="Calibri" w:hAnsi="Calibri" w:hint="eastAsia"/>
                <w:szCs w:val="24"/>
              </w:rPr>
              <w:t>2</w:t>
            </w:r>
          </w:p>
        </w:tc>
        <w:tc>
          <w:tcPr>
            <w:tcW w:w="1701" w:type="dxa"/>
            <w:vAlign w:val="center"/>
          </w:tcPr>
          <w:p w:rsidR="00040D3F" w:rsidRDefault="00040D3F" w:rsidP="008544AC">
            <w:pPr>
              <w:jc w:val="left"/>
              <w:rPr>
                <w:rFonts w:ascii="Calibri" w:hAnsi="Calibri"/>
                <w:szCs w:val="24"/>
              </w:rPr>
            </w:pPr>
            <w:r>
              <w:rPr>
                <w:rFonts w:ascii="Calibri" w:hAnsi="Calibri" w:hint="eastAsia"/>
                <w:szCs w:val="24"/>
              </w:rPr>
              <w:t>详见图纸</w:t>
            </w:r>
          </w:p>
        </w:tc>
      </w:tr>
    </w:tbl>
    <w:p w:rsidR="00040D3F" w:rsidRDefault="00040D3F" w:rsidP="00040D3F">
      <w:pPr>
        <w:spacing w:line="600" w:lineRule="exact"/>
        <w:rPr>
          <w:rFonts w:ascii="宋体" w:eastAsia="宋体" w:hAnsi="宋体" w:cs="宋体"/>
          <w:b/>
          <w:sz w:val="24"/>
          <w:szCs w:val="32"/>
        </w:rPr>
      </w:pPr>
      <w:r>
        <w:rPr>
          <w:rFonts w:ascii="宋体" w:eastAsia="宋体" w:hAnsi="宋体" w:cs="宋体" w:hint="eastAsia"/>
          <w:b/>
          <w:sz w:val="24"/>
          <w:szCs w:val="32"/>
        </w:rPr>
        <w:t>（二）交通标志技术要求</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1.交通标志的基本要求</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1.1标志的设置应通盘考虑，整体布局，做到连贯、一致，防止出现信息不足、不当或过载的现象。</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1.2标志的设置应以不熟悉周边路网的道路使用者为对象，应充分考虑道路使用者在动态条件下的视认性，应满足在动态条件下发现、判读标志及采取行动所需的前置距离要求，标志间的合理间距等。</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1.3标志的安装应使其版面垂直于行车方向，视情况调整其水平或俯仰角度，减少版面对驾驶人的眩光，确保其符合相关规范要求。</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1.4各类标志及支撑结构的任何部分不得侵入道路建筑限界以内。</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lastRenderedPageBreak/>
        <w:t xml:space="preserve">2.标志版面安装与布置: </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2.1标志由底板、 反光材料、滑槽、支撑件、基础和紧固件组成。标志的外形应美观，并采用统一的形式，各组成部件应牢固、防腐、耐用，紧固件应通用。</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2.2标志的版面布置应简洁美观、导向明确、无歧义，并应符合现行国家标准的有关规定。</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2.3同类标志宜采用同一类型的标志版面。设置于同一门架式、悬臂式等支撑结构上的同类标志，宜采用同一高度和边框尺寸。</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2.4标志版面、杆件、基础尺寸见附件清单，文字高度与设计速度的关系依据相关国家规范设置。</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2.5所有交通标志均按甲方指定位置安装。</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2.6主、辅标志及支撑结构的任何部分，不得侵入道路建筑限界，并符合下列规定：位于路面上方各类标志，其标志板及支撑结构下缘至路面的高度应大于该道路规定要求的净空高度，净空高度不得低于5.5米。</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2.7位于路侧的各类标志板边缘至车行道路面边缘最小侧向安全距离，以及各类标志支撑结构竖向边缘至车行道路面边缘的最小侧向安全距离应符合相关要求。</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2.8道路标志牌位置当于照明等设置位置冲突时，可考虑在满足规范及使用要求范围内适当调整位置。</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2.9除特殊情况外，标志的安装应视实际情况调整其水平或俯仰角度，使其版面垂直于行车方向。</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2.10标志安装应减少对驾驶员的眩光。</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2.11标志安装角度宜根据设置位置，道路的平、竖曲城线形进行调整:。</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2.12施工时应严格按照先地下，后地上的顺序实施，若有管线通过基础，施王时需注意预留，若分阶段施工，可能造成需要反挖路面结构及路基，施工后得对原结构进行恢复。施工过程中，切割路面和移动花木以及其他不可预见的所有事项，均由乙方负责。</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 xml:space="preserve">3、标志板设计应符合下列要求: </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3.1标志板宜选用型铝、型钢等滑槽加固。加固方式应符合现行国家标准《道路交通标志板及支撑件》GB/T 23827要求。</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3.2标志板 与支撑件应采用适当的连接方式，连接部件的设计应考虑安装方便、</w:t>
      </w:r>
      <w:r>
        <w:rPr>
          <w:rFonts w:ascii="宋体" w:eastAsia="宋体" w:hAnsi="宋体" w:cs="宋体" w:hint="eastAsia"/>
          <w:sz w:val="24"/>
          <w:szCs w:val="32"/>
        </w:rPr>
        <w:lastRenderedPageBreak/>
        <w:t>连接牢固、保持板面平整。标志板与支撑件的连接宜采用不锈钢万能夹。</w:t>
      </w:r>
    </w:p>
    <w:p w:rsidR="00040D3F" w:rsidRDefault="00040D3F" w:rsidP="00040D3F">
      <w:pPr>
        <w:spacing w:line="360" w:lineRule="auto"/>
        <w:rPr>
          <w:rFonts w:ascii="宋体" w:eastAsia="宋体" w:hAnsi="宋体" w:cs="宋体"/>
          <w:sz w:val="24"/>
          <w:szCs w:val="32"/>
        </w:rPr>
      </w:pPr>
      <w:r>
        <w:rPr>
          <w:rFonts w:ascii="Calibri" w:eastAsia="宋体" w:hAnsi="Calibri" w:cs="Times New Roman"/>
          <w:sz w:val="24"/>
          <w:szCs w:val="24"/>
        </w:rPr>
        <w:t>▲</w:t>
      </w:r>
      <w:r>
        <w:rPr>
          <w:rFonts w:ascii="宋体" w:eastAsia="宋体" w:hAnsi="宋体" w:cs="宋体" w:hint="eastAsia"/>
          <w:sz w:val="24"/>
          <w:szCs w:val="32"/>
        </w:rPr>
        <w:t>3.3标志牌版面反光膜采用3M进口品牌超强级反光膜，与现有城市道路交通标志反光膜类型与级别保持一致。使用寿命为10年。</w:t>
      </w:r>
      <w:r>
        <w:rPr>
          <w:rFonts w:ascii="宋体" w:eastAsia="宋体" w:hAnsi="宋体" w:cs="宋体" w:hint="eastAsia"/>
          <w:b/>
          <w:sz w:val="24"/>
          <w:szCs w:val="32"/>
        </w:rPr>
        <w:t>（提供有效证明文件及承诺函）</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3.4标志底板应采用铝合金板，厚度为3mm,在保证视认性前提下，标志板可分块制作，现场拼装。</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3.5标志底板应尽可能使用最大尺寸板材制作，以减少接缝，当板材的尺寸大于反光膜产品的最大宽度时，应尽可能减少反光膜接缝。</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4.支撑结构材料应符合下列要求:</w:t>
      </w:r>
    </w:p>
    <w:p w:rsidR="00040D3F" w:rsidRDefault="00040D3F" w:rsidP="00040D3F">
      <w:pPr>
        <w:spacing w:line="360" w:lineRule="auto"/>
        <w:rPr>
          <w:rFonts w:ascii="宋体" w:eastAsia="宋体" w:hAnsi="宋体" w:cs="宋体"/>
          <w:b/>
          <w:sz w:val="24"/>
          <w:szCs w:val="32"/>
        </w:rPr>
      </w:pPr>
      <w:r>
        <w:rPr>
          <w:rFonts w:ascii="Calibri" w:eastAsia="宋体" w:hAnsi="Calibri" w:cs="Times New Roman"/>
          <w:sz w:val="24"/>
          <w:szCs w:val="24"/>
        </w:rPr>
        <w:t>▲</w:t>
      </w:r>
      <w:r>
        <w:rPr>
          <w:rFonts w:ascii="宋体" w:eastAsia="宋体" w:hAnsi="宋体" w:cs="宋体" w:hint="eastAsia"/>
          <w:sz w:val="24"/>
          <w:szCs w:val="32"/>
        </w:rPr>
        <w:t>4.1杆件应为具有生产资质的厂家生产，为国家检测合格钢材。杆件壁厚应满足承载负荷要求。质保期至少20年，颜色样式根据甲方要求。</w:t>
      </w:r>
      <w:r>
        <w:rPr>
          <w:rFonts w:ascii="宋体" w:eastAsia="宋体" w:hAnsi="宋体" w:cs="宋体" w:hint="eastAsia"/>
          <w:b/>
          <w:sz w:val="24"/>
          <w:szCs w:val="32"/>
        </w:rPr>
        <w:t>（提供有效证明文件及承诺函）</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4.2标志基础采用的水泥混凝土强度等级应大于等于C30。</w:t>
      </w:r>
    </w:p>
    <w:p w:rsidR="00040D3F" w:rsidRPr="003D0AFF" w:rsidRDefault="00040D3F" w:rsidP="003D0AFF">
      <w:pPr>
        <w:spacing w:line="360" w:lineRule="auto"/>
        <w:rPr>
          <w:rFonts w:ascii="宋体" w:eastAsia="宋体" w:hAnsi="宋体" w:cs="宋体"/>
          <w:sz w:val="24"/>
          <w:szCs w:val="32"/>
        </w:rPr>
      </w:pPr>
      <w:r>
        <w:rPr>
          <w:rFonts w:ascii="宋体" w:eastAsia="宋体" w:hAnsi="宋体" w:cs="宋体" w:hint="eastAsia"/>
          <w:sz w:val="24"/>
          <w:szCs w:val="32"/>
        </w:rPr>
        <w:t>4.3 标志支撑件的基础宜采用刚性扩大基础，基础的金属预埋件必须进行除锈处理。基础的埋设深度和构造尺寸见附件。</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注：</w:t>
      </w:r>
      <w:r>
        <w:rPr>
          <w:rFonts w:ascii="宋体" w:eastAsia="宋体" w:hAnsi="宋体" w:cs="宋体"/>
          <w:sz w:val="24"/>
          <w:szCs w:val="32"/>
        </w:rPr>
        <w:t xml:space="preserve"> </w:t>
      </w:r>
      <w:r>
        <w:rPr>
          <w:rFonts w:ascii="宋体" w:eastAsia="宋体" w:hAnsi="宋体" w:cs="宋体" w:hint="eastAsia"/>
          <w:sz w:val="24"/>
          <w:szCs w:val="32"/>
        </w:rPr>
        <w:t>1、法律政策及工程设计标准：</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《中华人民共和国道路交通安全法》</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《中华人民共和国道路交通安全法实施条例》</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《道路交通标志标线》GB 5768</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《城市道路交通标志和标线设置规范》GB5 1038-2015</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《城市道路交通设施设计规范》GB50688-2011</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《公路交通标志与标线设置规范》JTGC82-2009</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《道路交通反光膜》GB/T18833-2012</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《道路交通标志板及支撑》GB/T23827</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《钢结构设计规范》GB50017</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《结构用无缝钢管》(GB/T 8162- 2018)</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其他与交通标志相关的交通法规、行业规范等</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2、各潜在供应商自行勘察现场，按照相关标准自主设计，并须满足业主的实际工作需要。业主方不在另行组织；如因以测算数据报价造成投标方损失业主不承</w:t>
      </w:r>
      <w:r>
        <w:rPr>
          <w:rFonts w:ascii="宋体" w:eastAsia="宋体" w:hAnsi="宋体" w:cs="宋体" w:hint="eastAsia"/>
          <w:sz w:val="24"/>
          <w:szCs w:val="32"/>
        </w:rPr>
        <w:lastRenderedPageBreak/>
        <w:t>担责任。</w:t>
      </w:r>
    </w:p>
    <w:p w:rsidR="00040D3F" w:rsidRDefault="00040D3F" w:rsidP="00040D3F">
      <w:pPr>
        <w:spacing w:line="360" w:lineRule="auto"/>
        <w:rPr>
          <w:rFonts w:ascii="宋体" w:eastAsia="宋体" w:hAnsi="宋体" w:cs="宋体"/>
          <w:sz w:val="24"/>
          <w:szCs w:val="32"/>
        </w:rPr>
      </w:pPr>
      <w:r>
        <w:rPr>
          <w:rFonts w:ascii="宋体" w:eastAsia="宋体" w:hAnsi="宋体" w:cs="宋体" w:hint="eastAsia"/>
          <w:sz w:val="24"/>
          <w:szCs w:val="32"/>
        </w:rPr>
        <w:t>3、本项目报价应报总价并须需提供明细单价报价，总价包含人工费、材料费、机械费、管理费、利润、风险等完成本项目所涉及的一切费用，采购人后期不再增加任何费用（总价作为定标依据，综合单价作为据实结算依据）。</w:t>
      </w:r>
    </w:p>
    <w:p w:rsidR="0021351D" w:rsidRDefault="00040D3F" w:rsidP="00040D3F">
      <w:r>
        <w:rPr>
          <w:rFonts w:ascii="宋体" w:eastAsia="宋体" w:hAnsi="宋体" w:cs="宋体" w:hint="eastAsia"/>
          <w:sz w:val="24"/>
          <w:szCs w:val="32"/>
        </w:rPr>
        <w:t>4、结算说明：本次项目所需数量为暂定量，结算按照实际发生的数量乘以成交供应商所报综合单价据实结算。</w:t>
      </w:r>
    </w:p>
    <w:sectPr w:rsidR="0021351D" w:rsidSect="002135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48A" w:rsidRDefault="005A248A" w:rsidP="00040D3F">
      <w:r>
        <w:separator/>
      </w:r>
    </w:p>
  </w:endnote>
  <w:endnote w:type="continuationSeparator" w:id="0">
    <w:p w:rsidR="005A248A" w:rsidRDefault="005A248A" w:rsidP="00040D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48A" w:rsidRDefault="005A248A" w:rsidP="00040D3F">
      <w:r>
        <w:separator/>
      </w:r>
    </w:p>
  </w:footnote>
  <w:footnote w:type="continuationSeparator" w:id="0">
    <w:p w:rsidR="005A248A" w:rsidRDefault="005A248A" w:rsidP="00040D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0D3F"/>
    <w:rsid w:val="00040D3F"/>
    <w:rsid w:val="0021351D"/>
    <w:rsid w:val="00256BF2"/>
    <w:rsid w:val="003D0AFF"/>
    <w:rsid w:val="005A248A"/>
    <w:rsid w:val="00A80BC8"/>
    <w:rsid w:val="00AB4D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D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0D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0D3F"/>
    <w:rPr>
      <w:sz w:val="18"/>
      <w:szCs w:val="18"/>
    </w:rPr>
  </w:style>
  <w:style w:type="paragraph" w:styleId="a4">
    <w:name w:val="footer"/>
    <w:basedOn w:val="a"/>
    <w:link w:val="Char0"/>
    <w:uiPriority w:val="99"/>
    <w:semiHidden/>
    <w:unhideWhenUsed/>
    <w:rsid w:val="00040D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0D3F"/>
    <w:rPr>
      <w:sz w:val="18"/>
      <w:szCs w:val="18"/>
    </w:rPr>
  </w:style>
  <w:style w:type="table" w:styleId="a5">
    <w:name w:val="Table Grid"/>
    <w:basedOn w:val="a1"/>
    <w:qFormat/>
    <w:rsid w:val="00040D3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1904</Characters>
  <Application>Microsoft Office Word</Application>
  <DocSecurity>0</DocSecurity>
  <Lines>15</Lines>
  <Paragraphs>4</Paragraphs>
  <ScaleCrop>false</ScaleCrop>
  <Company>china</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2021-08-02T04:34:00Z</dcterms:created>
  <dcterms:modified xsi:type="dcterms:W3CDTF">2021-08-02T04:39:00Z</dcterms:modified>
</cp:coreProperties>
</file>