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A2" w:rsidRDefault="00B859A2" w:rsidP="00B859A2">
      <w:pPr>
        <w:pStyle w:val="H1"/>
        <w:rPr>
          <w:rFonts w:ascii="黑体"/>
          <w:color w:val="auto"/>
        </w:rPr>
      </w:pPr>
      <w:r w:rsidRPr="00B859A2">
        <w:rPr>
          <w:rFonts w:ascii="黑体" w:hint="eastAsia"/>
          <w:color w:val="auto"/>
        </w:rPr>
        <w:t>宿州交通文化旅游投资集团有限公司国资国企在线监管系统采购项目</w:t>
      </w:r>
      <w:bookmarkStart w:id="0" w:name="_Toc511899298"/>
      <w:bookmarkEnd w:id="0"/>
      <w:r w:rsidR="004947D0">
        <w:rPr>
          <w:rFonts w:ascii="黑体" w:hint="eastAsia"/>
          <w:color w:val="auto"/>
        </w:rPr>
        <w:t>采购需求</w:t>
      </w:r>
    </w:p>
    <w:p w:rsidR="00B859A2" w:rsidRDefault="00B859A2" w:rsidP="00B859A2">
      <w:pPr>
        <w:numPr>
          <w:ilvl w:val="0"/>
          <w:numId w:val="2"/>
        </w:numPr>
        <w:outlineLvl w:val="2"/>
        <w:rPr>
          <w:rFonts w:ascii="Calibri" w:hAnsi="Calibri" w:cs="宋体"/>
          <w:b/>
          <w:bCs/>
          <w:sz w:val="44"/>
          <w:szCs w:val="44"/>
        </w:rPr>
      </w:pPr>
      <w:bookmarkStart w:id="1" w:name="_Toc511899299"/>
      <w:bookmarkStart w:id="2" w:name="_Toc24936"/>
      <w:bookmarkEnd w:id="1"/>
      <w:r>
        <w:rPr>
          <w:rFonts w:ascii="Calibri" w:hAnsi="Calibri" w:cs="宋体" w:hint="eastAsia"/>
          <w:sz w:val="32"/>
          <w:szCs w:val="32"/>
        </w:rPr>
        <w:t>货物服务清单及技术要求</w:t>
      </w:r>
      <w:r>
        <w:rPr>
          <w:rFonts w:ascii="Calibri" w:hAnsi="Calibri" w:cs="宋体" w:hint="eastAsia"/>
          <w:sz w:val="32"/>
          <w:szCs w:val="32"/>
        </w:rPr>
        <w:t>/</w:t>
      </w:r>
      <w:r>
        <w:rPr>
          <w:rFonts w:ascii="Calibri" w:hAnsi="Calibri" w:cs="宋体" w:hint="eastAsia"/>
          <w:sz w:val="32"/>
          <w:szCs w:val="32"/>
        </w:rPr>
        <w:t>服务需求</w:t>
      </w:r>
      <w:bookmarkEnd w:id="2"/>
    </w:p>
    <w:p w:rsidR="00B859A2" w:rsidRDefault="00B859A2" w:rsidP="00B859A2">
      <w:pPr>
        <w:keepNext/>
        <w:keepLines/>
        <w:spacing w:line="372" w:lineRule="auto"/>
        <w:outlineLvl w:val="3"/>
        <w:rPr>
          <w:rFonts w:ascii="Arial" w:eastAsia="黑体" w:hAnsi="Arial"/>
          <w:b/>
          <w:sz w:val="28"/>
        </w:rPr>
      </w:pPr>
      <w:bookmarkStart w:id="3" w:name="_Toc36631324"/>
      <w:r>
        <w:rPr>
          <w:rFonts w:ascii="Arial" w:eastAsia="黑体" w:hAnsi="Arial" w:hint="eastAsia"/>
          <w:b/>
          <w:sz w:val="28"/>
        </w:rPr>
        <w:t>（</w:t>
      </w:r>
      <w:r>
        <w:rPr>
          <w:rFonts w:ascii="Arial" w:eastAsia="黑体" w:hAnsi="Arial" w:hint="eastAsia"/>
          <w:b/>
          <w:sz w:val="28"/>
        </w:rPr>
        <w:t>1</w:t>
      </w:r>
      <w:r>
        <w:rPr>
          <w:rFonts w:ascii="Arial" w:eastAsia="黑体" w:hAnsi="Arial" w:hint="eastAsia"/>
          <w:b/>
          <w:sz w:val="28"/>
        </w:rPr>
        <w:t>）国有企业组织机构基本信息管理系统</w:t>
      </w:r>
      <w:bookmarkEnd w:id="3"/>
    </w:p>
    <w:p w:rsidR="00B859A2" w:rsidRDefault="00B859A2" w:rsidP="00B859A2">
      <w:pPr>
        <w:spacing w:line="440" w:lineRule="exact"/>
        <w:ind w:firstLine="480"/>
        <w:rPr>
          <w:rFonts w:ascii="Calibri" w:hAnsi="Calibri" w:cs="宋体"/>
          <w:snapToGrid w:val="0"/>
          <w:sz w:val="24"/>
          <w:szCs w:val="28"/>
        </w:rPr>
      </w:pPr>
      <w:r>
        <w:rPr>
          <w:rFonts w:ascii="Calibri" w:hAnsi="Calibri" w:cs="宋体" w:hint="eastAsia"/>
          <w:snapToGrid w:val="0"/>
          <w:sz w:val="24"/>
          <w:szCs w:val="28"/>
        </w:rPr>
        <w:t>国有企业组织机构基本信息库是整个国资国企监管体系的重要基石，通过统一数据共享中心，为省国资委业务系统及国资监管系统提供组织机构基本信息。遵循国资委“组织机构代码统一编码规则”，实现市属企业组织机构代码统一赋码，稳定唯一。通过企业管理层级树、企业法人层级树实现对国有企业组织机构全级次管理，摸清家底，夯实国资监管基础。</w:t>
      </w:r>
      <w:r>
        <w:rPr>
          <w:rFonts w:ascii="Calibri" w:hAnsi="Calibri" w:cs="宋体" w:hint="eastAsia"/>
          <w:sz w:val="24"/>
          <w:szCs w:val="22"/>
        </w:rPr>
        <w:t>监管部门通过平台可以全面了解监管企业的基本信息，包括但不限于：企业组织架构、领导分工、人员分布、业务构成、所属行业类别等。企业根据情况变化及时更新基础信息，保证监管部门及时掌握企业最新的基础信息。</w:t>
      </w:r>
    </w:p>
    <w:p w:rsidR="00B859A2" w:rsidRDefault="00B859A2" w:rsidP="00B859A2">
      <w:pPr>
        <w:spacing w:line="440" w:lineRule="exact"/>
        <w:ind w:firstLineChars="200" w:firstLine="480"/>
        <w:rPr>
          <w:rFonts w:ascii="宋体" w:hAnsi="Calibri"/>
          <w:sz w:val="24"/>
          <w:szCs w:val="28"/>
        </w:rPr>
      </w:pPr>
      <w:r>
        <w:rPr>
          <w:rFonts w:ascii="宋体" w:hAnsi="Calibri" w:hint="eastAsia"/>
          <w:sz w:val="24"/>
          <w:szCs w:val="28"/>
        </w:rPr>
        <w:t>企业组织机构基本信息功能包括企业信息对接、企业信息填报、企业管理层级树、企业法人层级树、数据审核、数据上报、数据分析等功能。</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企业信息对接</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根据手工填报方式录入企业组织机构基本信息。</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企业信息填报</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依据安徽省国资委企业组织机构信息指标填报企业组织机构基本信息。</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采用列表展示数据条数，可根据需要自动选择每页展现的数据条数。</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文件导入：可将WPS表格、Excel文件的数据自动导入到系统中。</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可通过“单位名称、单位类型、企业类型、境内外标识、上报状态”等条件进行检索，并可将填报数据导出到WPS表格或Excel文件；</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企业管理层级树：</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按照企业管理层级，采用树形显示企业组织机构信息，并且企业可通过“层级调整”功能，实现管理层级调整。</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企业法人层级树</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按照企业法人层级，采用树形显示企业组织机构信息，并且企业可通过“层级调整”功能，实现法人层级调整。</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数据审核</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lastRenderedPageBreak/>
        <w:t>对汇总、上报的数据进行审核。如被发现有错误数据可将审批意见置为“核对不通过”，并可以说明核对不通过的原因，可以通过【审批意见】查看审批意见与原因。</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数据上报</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按照国资委企业组织机构基本信息管理需求, 对审核后数据，采用数据采集交换平台，上报到安徽省国资委。</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数据统计分析</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支持多场景下的企业组织基本信息数据统计分析：</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（1）按集团、全级次进行数量统计。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（2）按管理层级、法人层级进行数量统计。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（3）按境内、境外企业数量进行统计。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（4）按非法人单位、法人单位进行统计。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（5）按吊销、未注销、吊销企业、嵌入、清算、停业、吊销并注销、在业、存续、吊销，已注销等状态进行数量统计。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（6）企业组织机构基本信息与产品数据的差异分析。</w:t>
      </w:r>
    </w:p>
    <w:p w:rsidR="00B859A2" w:rsidRDefault="00B859A2" w:rsidP="00B859A2">
      <w:pPr>
        <w:numPr>
          <w:ilvl w:val="0"/>
          <w:numId w:val="3"/>
        </w:numPr>
        <w:spacing w:line="440" w:lineRule="exact"/>
        <w:rPr>
          <w:rFonts w:ascii="Calibri" w:hAnsi="Calibri" w:cs="宋体"/>
          <w:b/>
          <w:sz w:val="24"/>
          <w:szCs w:val="28"/>
        </w:rPr>
      </w:pPr>
      <w:r>
        <w:rPr>
          <w:rFonts w:ascii="宋体" w:hAnsi="宋体" w:cs="仿宋" w:hint="eastAsia"/>
          <w:b/>
          <w:sz w:val="24"/>
          <w:szCs w:val="24"/>
        </w:rPr>
        <w:t>符合与宿州市国资系统对接技术标准</w:t>
      </w:r>
      <w:r>
        <w:rPr>
          <w:rFonts w:ascii="Calibri" w:hAnsi="Calibri" w:cs="宋体" w:hint="eastAsia"/>
          <w:b/>
          <w:sz w:val="24"/>
          <w:szCs w:val="28"/>
        </w:rPr>
        <w:t>。</w:t>
      </w:r>
    </w:p>
    <w:p w:rsidR="00B859A2" w:rsidRDefault="00B859A2" w:rsidP="00B859A2">
      <w:pPr>
        <w:keepNext/>
        <w:keepLines/>
        <w:spacing w:line="440" w:lineRule="exact"/>
        <w:outlineLvl w:val="3"/>
        <w:rPr>
          <w:rFonts w:ascii="Arial" w:eastAsia="黑体" w:hAnsi="Arial"/>
          <w:b/>
          <w:sz w:val="28"/>
        </w:rPr>
      </w:pPr>
      <w:r>
        <w:rPr>
          <w:rFonts w:ascii="Arial" w:eastAsia="黑体" w:hAnsi="Arial" w:hint="eastAsia"/>
          <w:b/>
          <w:sz w:val="28"/>
        </w:rPr>
        <w:t>（</w:t>
      </w:r>
      <w:r>
        <w:rPr>
          <w:rFonts w:ascii="Arial" w:eastAsia="黑体" w:hAnsi="Arial" w:hint="eastAsia"/>
          <w:b/>
          <w:sz w:val="28"/>
        </w:rPr>
        <w:t>2</w:t>
      </w:r>
      <w:r>
        <w:rPr>
          <w:rFonts w:ascii="Arial" w:eastAsia="黑体" w:hAnsi="Arial" w:hint="eastAsia"/>
          <w:b/>
          <w:sz w:val="28"/>
        </w:rPr>
        <w:t>）三重一大”决策运行系统</w:t>
      </w:r>
    </w:p>
    <w:p w:rsidR="00B859A2" w:rsidRDefault="00B859A2" w:rsidP="00B859A2">
      <w:pPr>
        <w:spacing w:line="440" w:lineRule="exact"/>
        <w:ind w:firstLine="480"/>
        <w:rPr>
          <w:rFonts w:ascii="Calibri" w:hAnsi="Calibri" w:cs="宋体"/>
          <w:sz w:val="24"/>
          <w:szCs w:val="28"/>
        </w:rPr>
      </w:pPr>
      <w:r>
        <w:rPr>
          <w:rFonts w:ascii="Calibri" w:hAnsi="Calibri" w:cs="宋体"/>
          <w:sz w:val="24"/>
          <w:szCs w:val="28"/>
        </w:rPr>
        <w:t>通过系统建设，</w:t>
      </w:r>
      <w:r>
        <w:rPr>
          <w:rFonts w:ascii="Calibri" w:hAnsi="Calibri" w:cs="宋体" w:hint="eastAsia"/>
          <w:sz w:val="24"/>
          <w:szCs w:val="22"/>
        </w:rPr>
        <w:t>实现对企业“三重一大”事项决策的制度、规则、清单、程序、内容和落实情况的全过程监督，实现横向到边、纵向到底的实时在线监管，形成执行“三重一大”制度的硬约束，保证“三重一大”制度执行规范高效。</w:t>
      </w:r>
      <w:r>
        <w:rPr>
          <w:rFonts w:ascii="Calibri" w:hAnsi="Calibri" w:cs="宋体"/>
          <w:sz w:val="24"/>
          <w:szCs w:val="28"/>
        </w:rPr>
        <w:t>实现</w:t>
      </w:r>
      <w:r>
        <w:rPr>
          <w:rFonts w:ascii="Calibri" w:hAnsi="Calibri" w:cs="宋体"/>
          <w:sz w:val="24"/>
          <w:szCs w:val="28"/>
        </w:rPr>
        <w:t>“</w:t>
      </w:r>
      <w:r>
        <w:rPr>
          <w:rFonts w:ascii="Calibri" w:hAnsi="Calibri" w:cs="宋体"/>
          <w:sz w:val="24"/>
          <w:szCs w:val="28"/>
        </w:rPr>
        <w:t>三重一大</w:t>
      </w:r>
      <w:r>
        <w:rPr>
          <w:rFonts w:ascii="Calibri" w:hAnsi="Calibri" w:cs="宋体"/>
          <w:sz w:val="24"/>
          <w:szCs w:val="28"/>
        </w:rPr>
        <w:t>”</w:t>
      </w:r>
      <w:r>
        <w:rPr>
          <w:rFonts w:ascii="Calibri" w:hAnsi="Calibri" w:cs="宋体"/>
          <w:sz w:val="24"/>
          <w:szCs w:val="28"/>
        </w:rPr>
        <w:t>所辖事项的监管信息化、审批规范化、决策科学化。实现决策事项、治理主体和决策程序的清单化、标准化、规范化，确保我</w:t>
      </w:r>
      <w:r>
        <w:rPr>
          <w:rFonts w:ascii="Calibri" w:hAnsi="Calibri" w:cs="宋体" w:hint="eastAsia"/>
          <w:sz w:val="24"/>
          <w:szCs w:val="28"/>
        </w:rPr>
        <w:t>局</w:t>
      </w:r>
      <w:r>
        <w:rPr>
          <w:rFonts w:ascii="Calibri" w:hAnsi="Calibri" w:cs="宋体"/>
          <w:sz w:val="24"/>
          <w:szCs w:val="28"/>
        </w:rPr>
        <w:t>动态掌握</w:t>
      </w:r>
      <w:r>
        <w:rPr>
          <w:rFonts w:ascii="Calibri" w:hAnsi="Calibri" w:cs="宋体" w:hint="eastAsia"/>
          <w:sz w:val="24"/>
          <w:szCs w:val="28"/>
        </w:rPr>
        <w:t>市</w:t>
      </w:r>
      <w:r>
        <w:rPr>
          <w:rFonts w:ascii="Calibri" w:hAnsi="Calibri" w:cs="宋体"/>
          <w:sz w:val="24"/>
          <w:szCs w:val="28"/>
        </w:rPr>
        <w:t>属企业</w:t>
      </w:r>
      <w:r>
        <w:rPr>
          <w:rFonts w:ascii="Calibri" w:hAnsi="Calibri" w:cs="宋体"/>
          <w:sz w:val="24"/>
          <w:szCs w:val="28"/>
        </w:rPr>
        <w:t>“</w:t>
      </w:r>
      <w:r>
        <w:rPr>
          <w:rFonts w:ascii="Calibri" w:hAnsi="Calibri" w:cs="宋体"/>
          <w:sz w:val="24"/>
          <w:szCs w:val="28"/>
        </w:rPr>
        <w:t>三重一大</w:t>
      </w:r>
      <w:r>
        <w:rPr>
          <w:rFonts w:ascii="Calibri" w:hAnsi="Calibri" w:cs="宋体"/>
          <w:sz w:val="24"/>
          <w:szCs w:val="28"/>
        </w:rPr>
        <w:t>”</w:t>
      </w:r>
      <w:r>
        <w:rPr>
          <w:rFonts w:ascii="Calibri" w:hAnsi="Calibri" w:cs="宋体"/>
          <w:sz w:val="24"/>
          <w:szCs w:val="28"/>
        </w:rPr>
        <w:t>决策运行整体情况。</w:t>
      </w:r>
    </w:p>
    <w:p w:rsidR="00B859A2" w:rsidRDefault="00B859A2" w:rsidP="00B859A2">
      <w:pPr>
        <w:spacing w:line="440" w:lineRule="exact"/>
        <w:ind w:firstLine="480"/>
        <w:rPr>
          <w:rFonts w:ascii="Calibri" w:hAnsi="Calibri" w:cs="宋体"/>
          <w:sz w:val="24"/>
          <w:szCs w:val="22"/>
        </w:rPr>
      </w:pPr>
      <w:r>
        <w:rPr>
          <w:rFonts w:ascii="Calibri" w:hAnsi="Calibri" w:cs="宋体" w:hint="eastAsia"/>
          <w:sz w:val="24"/>
          <w:szCs w:val="28"/>
        </w:rPr>
        <w:t>三重一大”决策运行系统包括：制度管理、决策流程管理、决策事项管理</w:t>
      </w:r>
      <w:r>
        <w:rPr>
          <w:rFonts w:ascii="Calibri" w:hAnsi="Calibri" w:cs="宋体" w:hint="eastAsia"/>
          <w:sz w:val="24"/>
          <w:szCs w:val="22"/>
        </w:rPr>
        <w:t>等功能。</w:t>
      </w:r>
    </w:p>
    <w:p w:rsidR="00B859A2" w:rsidRDefault="00B859A2" w:rsidP="00B859A2">
      <w:pPr>
        <w:kinsoku w:val="0"/>
        <w:spacing w:line="440" w:lineRule="exact"/>
        <w:ind w:firstLineChars="200" w:firstLine="522"/>
        <w:rPr>
          <w:rFonts w:ascii="宋体" w:hAnsi="宋体" w:cs="仿宋"/>
          <w:bCs/>
          <w:spacing w:val="10"/>
          <w:sz w:val="24"/>
          <w:szCs w:val="24"/>
        </w:rPr>
      </w:pPr>
      <w:r>
        <w:rPr>
          <w:rFonts w:ascii="宋体" w:hAnsi="宋体" w:cs="仿宋" w:hint="eastAsia"/>
          <w:b/>
          <w:spacing w:val="10"/>
          <w:sz w:val="24"/>
          <w:szCs w:val="24"/>
        </w:rPr>
        <w:t>1．制度管理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通过建立市属企业“三重一大”制度库，实现“三重一大”相关制度的线上填报、审批、上报、查询管理，支持在线填报和导入功能，填报内容不合规则可以提供告警提示功能。基本功能包括且不限于制度填报、制度库、制度类型配置。</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制度管理应支持对制度类型、佐证材料、生效日期、失效日期等内容</w:t>
      </w:r>
      <w:r>
        <w:rPr>
          <w:rFonts w:ascii="宋体" w:hAnsi="宋体" w:cs="仿宋" w:hint="eastAsia"/>
          <w:bCs/>
          <w:spacing w:val="10"/>
          <w:sz w:val="24"/>
          <w:szCs w:val="24"/>
        </w:rPr>
        <w:lastRenderedPageBreak/>
        <w:t>的管理，并构建制度文件异常分析模型，实现对制度文件异常情况的实时监测。</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2． 决策流程管理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决策流程主要包括听取意见、提前告知、会议决策和组织落实，具备自定义流程、流程监控、流程提醒等基本功能。</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3． 决策事项管理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主要针对“三重一大”决策相关事项进行处理，以中办和国务院文件中的“三重一大”事项的主要范围为依托，创建本系统及监管企业的“三重一大”事项目录，帮助市属企业明确“三重一大”事项清单分类维度，提供监管企业用户“三重一大”相关的事项具体信息、相关决策会议及所属事项目录的填报、编辑和上传功能，并为企业上（填）报本企业事项清单提供系统支撑。包含事项目录管理、事项目录定义、事项清单填报、事项清单管理等功能。</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决策事项管理应支持对事项名称、事项版本、生效日期、失效日期、决策程序、法律审核等内容的管理。</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4． 会议管理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通过信息化手段监管企业各级党委会、董事会、总经理办公会、董事长办公会等重要会议的决策情况，提升会议组织及决策的效率。包括会议类型管理、会议通知管理、会议决策管理、会议记录管理、会议纪要管理、议题审议管理、会议查阅。</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会议管理支持对主持人、参会人、会议时间、会议通知、会议纪要、会议纪要印发时间的管理，并构建会议召开异常分析模型，实现对会议召开异常的实时监测。</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5． 议题管理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实现对企业各级党委会、董事会、总经理办公会、董事长办公会等重要会议的议题提报、听取意见、议题审核、议题材料准备、议题库的全过程管理。实现企业多层级议题提报、审批、会签、议题库的分级管理。包含议题库管理、议题材料管理、听取意见管理、议题填报等基本功能。</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议题管理应支持对议题材料、听取意见情况、审议结果、议题决议等内容的管理，并构建党委（党组）会未前置、决策顺序、议题表决、法律审核等异常分析模型，实现对党委（党组）会未前置、决策顺序异常、法</w:t>
      </w:r>
      <w:r>
        <w:rPr>
          <w:rFonts w:ascii="宋体" w:hAnsi="宋体" w:cs="仿宋" w:hint="eastAsia"/>
          <w:bCs/>
          <w:spacing w:val="10"/>
          <w:sz w:val="24"/>
          <w:szCs w:val="24"/>
        </w:rPr>
        <w:lastRenderedPageBreak/>
        <w:t>律审核异常的实时监测。</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6． 执行管理：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企业根据班子成员分工和职责及时报告“三重一大”决策事项的执行情况。将执行情况的过程或结果，通过系统汇报给监督部门，接受监督部门监督检查。并将按照有关规定将需要公示的执行情况进行公示。</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执行管理应支持对时间进度、组织实施情况、落实人、落实部门等内容的管理。</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7． 决策资料管理：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对“三重一大”决策事项清单、决策制度、决策会议（包含但不仅限于董事会、党组会、总经理办公会等）、会议议题等四类业务事项的事前、事中、事后的资料文件的全生命周期管理。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事前监管：会议通知、会议材料推送、材料反馈、议题征集、议题审定、法律审核、征求意见等材料的基本信息管理。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事中监管：这对所有决策资料的合规性审查，只有通过审查，才允许入库。</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事后监管：实现决策资料整理与归档的功能，支持按照时间、版本、部门等多个维度进行决策资料的分类管理。</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8． 决策统计分析：</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针对市属企业上报的“三重一大”决策情况，以公司领导、业务处室等角色横向维度，以企业名称、决策事项、决策时间等条件为纵向维度，统计分析企业“三重一大”事项的决策落实情况。</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9． 上报库管理：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根据省国资委下发的“三重一大”监管指标要求，实现对“三重一大”相关决策数据的上报、管理和统计，实时保证“三重一大”数据上报质量的监控、管理、预警、排查、稽核。</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10． 决策预警：</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对接收的“三重一大”决策过程数据设置校验规则，主要针对会议召开异常、党委（党组）会未前置、决策顺序表决异常、法律审核异常、企业制度文件是否上传等事项进行异常预警。</w:t>
      </w:r>
    </w:p>
    <w:p w:rsidR="00B859A2" w:rsidRDefault="00B859A2" w:rsidP="00B859A2">
      <w:pPr>
        <w:kinsoku w:val="0"/>
        <w:spacing w:line="440" w:lineRule="exact"/>
        <w:ind w:firstLineChars="200" w:firstLine="522"/>
        <w:rPr>
          <w:rFonts w:ascii="Arial" w:eastAsia="仿宋_GB2312" w:hAnsi="Arial"/>
          <w:sz w:val="28"/>
        </w:rPr>
      </w:pPr>
      <w:r>
        <w:rPr>
          <w:rFonts w:ascii="宋体" w:hAnsi="宋体" w:cs="仿宋" w:hint="eastAsia"/>
          <w:b/>
          <w:spacing w:val="10"/>
          <w:sz w:val="24"/>
          <w:szCs w:val="24"/>
        </w:rPr>
        <w:t>11. 符合与宿州市国资系统对接技术标准。</w:t>
      </w:r>
    </w:p>
    <w:p w:rsidR="00B859A2" w:rsidRDefault="00B859A2" w:rsidP="00B859A2">
      <w:pPr>
        <w:keepNext/>
        <w:keepLines/>
        <w:spacing w:line="440" w:lineRule="exact"/>
        <w:outlineLvl w:val="3"/>
        <w:rPr>
          <w:rFonts w:ascii="Arial" w:eastAsia="黑体" w:hAnsi="Arial"/>
          <w:b/>
          <w:sz w:val="28"/>
        </w:rPr>
      </w:pPr>
      <w:r>
        <w:rPr>
          <w:rFonts w:ascii="Arial" w:eastAsia="黑体" w:hAnsi="Arial" w:hint="eastAsia"/>
          <w:b/>
          <w:sz w:val="28"/>
        </w:rPr>
        <w:lastRenderedPageBreak/>
        <w:t>（</w:t>
      </w:r>
      <w:r>
        <w:rPr>
          <w:rFonts w:ascii="Arial" w:eastAsia="黑体" w:hAnsi="Arial" w:hint="eastAsia"/>
          <w:b/>
          <w:sz w:val="28"/>
        </w:rPr>
        <w:t>3</w:t>
      </w:r>
      <w:r>
        <w:rPr>
          <w:rFonts w:ascii="Arial" w:eastAsia="黑体" w:hAnsi="Arial" w:hint="eastAsia"/>
          <w:b/>
          <w:sz w:val="28"/>
        </w:rPr>
        <w:t>）数据采集交换平台</w:t>
      </w:r>
    </w:p>
    <w:p w:rsidR="00B859A2" w:rsidRDefault="00B859A2" w:rsidP="00B859A2">
      <w:pPr>
        <w:spacing w:line="440" w:lineRule="exact"/>
        <w:ind w:firstLine="560"/>
        <w:rPr>
          <w:rFonts w:ascii="Calibri" w:hAnsi="Calibri" w:cs="宋体"/>
          <w:sz w:val="24"/>
          <w:szCs w:val="22"/>
        </w:rPr>
      </w:pPr>
      <w:r>
        <w:rPr>
          <w:rFonts w:ascii="Calibri" w:hAnsi="Calibri" w:cs="宋体" w:hint="eastAsia"/>
          <w:sz w:val="24"/>
          <w:szCs w:val="22"/>
        </w:rPr>
        <w:t>建设数据采集交换平台，实现与安徽省国资委智慧国资系统对接，包括但不限于财务、三重一大、大额资金等数据，系统支持未来拓展，根据市国资委要求对接其他数据，并支持未来与企业</w:t>
      </w:r>
      <w:r>
        <w:rPr>
          <w:rFonts w:ascii="Calibri" w:hAnsi="Calibri" w:cs="宋体" w:hint="eastAsia"/>
          <w:sz w:val="24"/>
          <w:szCs w:val="22"/>
        </w:rPr>
        <w:t>ERP</w:t>
      </w:r>
      <w:r>
        <w:rPr>
          <w:rFonts w:ascii="Calibri" w:hAnsi="Calibri" w:cs="宋体" w:hint="eastAsia"/>
          <w:sz w:val="24"/>
          <w:szCs w:val="22"/>
        </w:rPr>
        <w:t>系统对接。</w:t>
      </w:r>
    </w:p>
    <w:p w:rsidR="00B859A2" w:rsidRDefault="00B859A2" w:rsidP="00B859A2">
      <w:pPr>
        <w:spacing w:line="440" w:lineRule="exact"/>
        <w:ind w:firstLine="560"/>
        <w:rPr>
          <w:rFonts w:ascii="Calibri" w:hAnsi="Calibri" w:cs="宋体"/>
          <w:sz w:val="24"/>
          <w:szCs w:val="22"/>
        </w:rPr>
      </w:pPr>
      <w:r>
        <w:rPr>
          <w:rFonts w:ascii="Calibri" w:hAnsi="Calibri" w:cs="宋体" w:hint="eastAsia"/>
          <w:sz w:val="24"/>
          <w:szCs w:val="22"/>
        </w:rPr>
        <w:t>系统应该支持可视化设计、灵活的流程编排、完整的服务注册和准确的运行监控实现数据整合应用；同时支持基于数据的、基于事件的、基于服务的各种数据集成需求。</w:t>
      </w:r>
    </w:p>
    <w:p w:rsidR="00B859A2" w:rsidRDefault="00B859A2" w:rsidP="00B859A2">
      <w:pPr>
        <w:numPr>
          <w:ilvl w:val="0"/>
          <w:numId w:val="4"/>
        </w:numPr>
        <w:spacing w:line="440" w:lineRule="exact"/>
        <w:rPr>
          <w:rFonts w:ascii="Calibri" w:hAnsi="Calibri" w:cs="宋体"/>
          <w:b/>
          <w:sz w:val="24"/>
          <w:szCs w:val="28"/>
        </w:rPr>
      </w:pPr>
      <w:r>
        <w:rPr>
          <w:rFonts w:ascii="Calibri" w:hAnsi="Calibri" w:cs="宋体" w:hint="eastAsia"/>
          <w:b/>
          <w:sz w:val="24"/>
          <w:szCs w:val="28"/>
        </w:rPr>
        <w:t>统一数据标准</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统一数据标准是统一目录标准和基础数据同步，能够接收省国资委监管数据中心下发的统一采集目录，能够接收省国资委相关处室局发布的基础数据，企业数据采集交换平台接口数据支撑与省国资委接口对接。</w:t>
      </w:r>
    </w:p>
    <w:p w:rsidR="00B859A2" w:rsidRDefault="00B859A2" w:rsidP="00B859A2">
      <w:pPr>
        <w:numPr>
          <w:ilvl w:val="0"/>
          <w:numId w:val="4"/>
        </w:numPr>
        <w:spacing w:line="440" w:lineRule="exact"/>
        <w:rPr>
          <w:rFonts w:ascii="Calibri" w:hAnsi="Calibri" w:cs="宋体"/>
          <w:b/>
          <w:sz w:val="24"/>
          <w:szCs w:val="28"/>
        </w:rPr>
      </w:pPr>
      <w:r>
        <w:rPr>
          <w:rFonts w:ascii="Calibri" w:hAnsi="Calibri" w:cs="宋体" w:hint="eastAsia"/>
          <w:b/>
          <w:sz w:val="24"/>
          <w:szCs w:val="28"/>
        </w:rPr>
        <w:t>统一灵活的数据采集</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统一灵活的数据采集包括但不限于采集指标管理、采集任务监控、采集任务管理、采集质量管理、数据审核管理等功能。通过不同的数据采集工具和手段，应能够支持各类相关数据源的数据采集</w:t>
      </w:r>
      <w:r>
        <w:rPr>
          <w:rFonts w:ascii="Calibri" w:hAnsi="Calibri" w:cs="宋体" w:hint="eastAsia"/>
          <w:sz w:val="24"/>
          <w:szCs w:val="28"/>
        </w:rPr>
        <w:t>,</w:t>
      </w:r>
      <w:r>
        <w:rPr>
          <w:rFonts w:ascii="Calibri" w:hAnsi="Calibri" w:cs="宋体" w:hint="eastAsia"/>
          <w:sz w:val="24"/>
          <w:szCs w:val="28"/>
        </w:rPr>
        <w:t>支持海量多源异构数据的采集和导入，支持传统数据库、本地、</w:t>
      </w:r>
      <w:r>
        <w:rPr>
          <w:rFonts w:ascii="Calibri" w:hAnsi="Calibri" w:cs="宋体" w:hint="eastAsia"/>
          <w:sz w:val="24"/>
          <w:szCs w:val="28"/>
        </w:rPr>
        <w:t>FTP</w:t>
      </w:r>
      <w:r>
        <w:rPr>
          <w:rFonts w:ascii="Calibri" w:hAnsi="Calibri" w:cs="宋体" w:hint="eastAsia"/>
          <w:sz w:val="24"/>
          <w:szCs w:val="28"/>
        </w:rPr>
        <w:t>等多种数据源。支持结构化、半结构化、非结构化数据的导入，支持数据库迁移、数据集成、</w:t>
      </w:r>
      <w:r>
        <w:rPr>
          <w:rFonts w:ascii="Calibri" w:hAnsi="Calibri" w:cs="宋体" w:hint="eastAsia"/>
          <w:sz w:val="24"/>
          <w:szCs w:val="28"/>
        </w:rPr>
        <w:t>EXECL</w:t>
      </w:r>
      <w:r>
        <w:rPr>
          <w:rFonts w:ascii="Calibri" w:hAnsi="Calibri" w:cs="宋体" w:hint="eastAsia"/>
          <w:sz w:val="24"/>
          <w:szCs w:val="28"/>
        </w:rPr>
        <w:t>导入、日志获取、多级填报等多种采集功能，支持定时、实时、循环任务等多种数据采集导入方式。</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采集指标管理：主要实现统一目录、统一标准、基础数据、采集模板等的接收、固化功能，是企业管控指标在数据采集业务中的实际载体。</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采集任务管理：主要通过设定任务，实现集团与国资委、集团成员企业之间采集工作的协同，包括查询、跟踪、反馈等。</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采集质量管理：主要实现对采集工作的评估和数据质量的技术审核纠正工作。</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报表配置功能：实现灵活的报表配置功能，根据省国资委要求定制报表，填报省国资委对接平台上。</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数据填报管理：针对无法从各业务系统采集的数据，可通过数据填报平台进行补充。数据填报平台实现各级数据的填报、跨系统取数公式、审核、汇总等功能。</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基础管理：具备配套的系统管理、采集任务监控等。</w:t>
      </w:r>
    </w:p>
    <w:p w:rsidR="00B859A2" w:rsidRDefault="00B859A2" w:rsidP="00B859A2">
      <w:pPr>
        <w:spacing w:line="440" w:lineRule="exact"/>
        <w:ind w:firstLine="480"/>
        <w:rPr>
          <w:rFonts w:ascii="Calibri" w:hAnsi="Calibri" w:cs="宋体"/>
          <w:b/>
          <w:sz w:val="24"/>
          <w:szCs w:val="28"/>
        </w:rPr>
      </w:pPr>
      <w:r>
        <w:rPr>
          <w:rFonts w:ascii="Calibri" w:hAnsi="Calibri" w:cs="宋体" w:hint="eastAsia"/>
          <w:b/>
          <w:sz w:val="24"/>
          <w:szCs w:val="28"/>
        </w:rPr>
        <w:t>3</w:t>
      </w:r>
      <w:r>
        <w:rPr>
          <w:rFonts w:ascii="Calibri" w:hAnsi="Calibri" w:cs="宋体" w:hint="eastAsia"/>
          <w:b/>
          <w:sz w:val="24"/>
          <w:szCs w:val="28"/>
        </w:rPr>
        <w:t>．</w:t>
      </w:r>
      <w:r>
        <w:rPr>
          <w:rFonts w:ascii="Calibri" w:hAnsi="Calibri" w:cs="宋体" w:hint="eastAsia"/>
          <w:b/>
          <w:sz w:val="24"/>
          <w:szCs w:val="28"/>
        </w:rPr>
        <w:t xml:space="preserve"> </w:t>
      </w:r>
      <w:r>
        <w:rPr>
          <w:rFonts w:ascii="Calibri" w:hAnsi="Calibri" w:cs="宋体" w:hint="eastAsia"/>
          <w:b/>
          <w:sz w:val="24"/>
          <w:szCs w:val="28"/>
        </w:rPr>
        <w:t>统一数据交换</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统一数据交换组件至少包含数据交换管理、数据交换监控、数据共享管理、</w:t>
      </w:r>
      <w:r>
        <w:rPr>
          <w:rFonts w:ascii="Calibri" w:hAnsi="Calibri" w:cs="宋体" w:hint="eastAsia"/>
          <w:sz w:val="24"/>
          <w:szCs w:val="28"/>
        </w:rPr>
        <w:lastRenderedPageBreak/>
        <w:t>数据交换安全保障、数据交换跟踪反馈等功能。提供对数据从底层向上层采集汇聚能力外，还应该提供在同层不同系统和应用间传递，以及不同组织间交换和共享技术支持。</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交换管理：数据交换是统一采集平台对外采集和交换的真正实现者，提供各类采集接口，锚定各个数据源位置，实现数据的清理转换，是对外采集的入口和边界，主要实现数据源管理、交换任务管理、调度管理、节点管理、主题管理、</w:t>
      </w:r>
      <w:r>
        <w:rPr>
          <w:rFonts w:ascii="Calibri" w:hAnsi="Calibri" w:cs="宋体" w:hint="eastAsia"/>
          <w:sz w:val="24"/>
          <w:szCs w:val="28"/>
        </w:rPr>
        <w:t>ETL</w:t>
      </w:r>
      <w:r>
        <w:rPr>
          <w:rFonts w:ascii="Calibri" w:hAnsi="Calibri" w:cs="宋体" w:hint="eastAsia"/>
          <w:sz w:val="24"/>
          <w:szCs w:val="28"/>
        </w:rPr>
        <w:t>、服务接口等功能。</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数据交换监控：主要实现数据交换日志采集、数据交换服务监控、数据交换日志查询、数据交换业务分析等功能。</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共享管理：系统应能够通过目录体系方面地定义共享数据库的指标项，并定义相关的数据转换规则；系统应能够通过交换平台按照定义的指标项从提供单位自动同步数据，形成基础数据库；系统应提供数据库共享查询和应用系统数据加载功能。</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数据交换安全保障：根据不同的采集交换数据安全性和保密性，实现相应的安全保障功能，包括但不限于数据加密、安全传输等，确保符合国家相关保密安全要求。</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交换跟踪反馈：建立数据采集交换的跟踪反馈能力，明确数据采集交换指标的状态，能够实现接受、退回、重传等协同机制，实现的数据质量的管理和评估，为数据采集交换工作提供更有效的管控能力和手段。</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4.</w:t>
      </w:r>
      <w:r>
        <w:rPr>
          <w:rFonts w:ascii="Calibri" w:hAnsi="Calibri" w:cs="宋体"/>
          <w:sz w:val="24"/>
          <w:szCs w:val="28"/>
        </w:rPr>
        <w:t xml:space="preserve"> </w:t>
      </w:r>
      <w:r>
        <w:rPr>
          <w:rFonts w:ascii="宋体" w:hAnsi="宋体" w:cs="仿宋" w:hint="eastAsia"/>
          <w:b/>
          <w:sz w:val="24"/>
          <w:szCs w:val="24"/>
        </w:rPr>
        <w:t>符合与宿州市国资系统对接技术标准</w:t>
      </w:r>
      <w:r>
        <w:rPr>
          <w:rFonts w:ascii="Calibri" w:hAnsi="Calibri" w:cs="宋体" w:hint="eastAsia"/>
          <w:sz w:val="24"/>
          <w:szCs w:val="28"/>
        </w:rPr>
        <w:t>。</w:t>
      </w:r>
    </w:p>
    <w:p w:rsidR="00B859A2" w:rsidRDefault="00B859A2" w:rsidP="00B859A2">
      <w:pPr>
        <w:keepNext/>
        <w:keepLines/>
        <w:spacing w:line="440" w:lineRule="exact"/>
        <w:outlineLvl w:val="3"/>
        <w:rPr>
          <w:rFonts w:ascii="Arial" w:eastAsia="黑体" w:hAnsi="Arial"/>
          <w:b/>
          <w:sz w:val="28"/>
        </w:rPr>
      </w:pPr>
      <w:r>
        <w:rPr>
          <w:rFonts w:ascii="Arial" w:eastAsia="黑体" w:hAnsi="Arial"/>
          <w:b/>
          <w:sz w:val="28"/>
        </w:rPr>
        <w:t>（</w:t>
      </w:r>
      <w:r>
        <w:rPr>
          <w:rFonts w:ascii="Arial" w:eastAsia="黑体" w:hAnsi="Arial"/>
          <w:b/>
          <w:sz w:val="28"/>
        </w:rPr>
        <w:t>4</w:t>
      </w:r>
      <w:r>
        <w:rPr>
          <w:rFonts w:ascii="Arial" w:eastAsia="黑体" w:hAnsi="Arial"/>
          <w:b/>
          <w:sz w:val="28"/>
        </w:rPr>
        <w:t>）应用支撑平台</w:t>
      </w:r>
    </w:p>
    <w:p w:rsidR="00B859A2" w:rsidRDefault="00B859A2" w:rsidP="00B859A2">
      <w:pPr>
        <w:spacing w:line="440" w:lineRule="exact"/>
        <w:ind w:firstLine="560"/>
        <w:rPr>
          <w:rFonts w:ascii="Calibri" w:hAnsi="Calibri" w:cs="宋体"/>
          <w:sz w:val="24"/>
          <w:szCs w:val="22"/>
        </w:rPr>
      </w:pPr>
      <w:r>
        <w:rPr>
          <w:rFonts w:ascii="Calibri" w:hAnsi="Calibri" w:cs="宋体" w:hint="eastAsia"/>
          <w:sz w:val="24"/>
          <w:szCs w:val="22"/>
        </w:rPr>
        <w:t>在操作系统、数据库以及硬件、网络环境等软硬件基础架构上，需要选用适合的国产品牌自主开发，成熟稳定，性能可靠的中间件应用支撑平台。中间件平台要求基于</w:t>
      </w:r>
      <w:r>
        <w:rPr>
          <w:rFonts w:ascii="Calibri" w:hAnsi="Calibri" w:cs="宋体" w:hint="eastAsia"/>
          <w:sz w:val="24"/>
          <w:szCs w:val="22"/>
        </w:rPr>
        <w:t>SOA</w:t>
      </w:r>
      <w:r>
        <w:rPr>
          <w:rFonts w:ascii="Calibri" w:hAnsi="Calibri" w:cs="宋体" w:hint="eastAsia"/>
          <w:sz w:val="24"/>
          <w:szCs w:val="22"/>
        </w:rPr>
        <w:t>架构，采用模型驱动开发方式，实现数据交换、业务流程、系统运维等公共组件功能。通过应用支撑平台可快速根据管理要求的变化对系统进行灵活配置和扩展，满足随需应变的要求。</w:t>
      </w:r>
    </w:p>
    <w:p w:rsidR="00B859A2" w:rsidRDefault="00B859A2" w:rsidP="00B859A2">
      <w:pPr>
        <w:spacing w:line="44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t>数据交换，数据交换系统，可以实现历史数据的入库处理、外部数据的入库处理。供应商要拥有成熟的数据交换系统开发能力。</w:t>
      </w:r>
    </w:p>
    <w:p w:rsidR="00B859A2" w:rsidRDefault="00B859A2" w:rsidP="00B859A2">
      <w:pPr>
        <w:spacing w:line="44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t>报表管理，</w:t>
      </w:r>
      <w:r>
        <w:rPr>
          <w:rFonts w:ascii="宋体" w:hAnsi="宋体"/>
          <w:bCs/>
          <w:snapToGrid w:val="0"/>
          <w:kern w:val="0"/>
          <w:sz w:val="24"/>
          <w:szCs w:val="24"/>
        </w:rPr>
        <w:t>可以实现</w:t>
      </w:r>
      <w:r>
        <w:rPr>
          <w:rFonts w:ascii="宋体" w:hAnsi="宋体" w:hint="eastAsia"/>
          <w:bCs/>
          <w:snapToGrid w:val="0"/>
          <w:kern w:val="0"/>
          <w:sz w:val="24"/>
          <w:szCs w:val="24"/>
        </w:rPr>
        <w:t>快速设置、灵活定义格式的成熟报表管理系统，解决国资委平时工作中经常出现临时报表数据处理的需要，并具有自主知识产权，避免法律纠纷。</w:t>
      </w:r>
    </w:p>
    <w:p w:rsidR="00B859A2" w:rsidRDefault="00B859A2" w:rsidP="00B859A2">
      <w:pPr>
        <w:spacing w:line="44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lastRenderedPageBreak/>
        <w:t>工作流管理，实现工作事项的审批流管理，并可以进行灵活定义流程，供应商具有开发成熟工作流管理平台的研发能力。</w:t>
      </w:r>
    </w:p>
    <w:p w:rsidR="00B859A2" w:rsidRDefault="00B859A2" w:rsidP="00B859A2">
      <w:pPr>
        <w:spacing w:line="44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t>国产化支持，基于目前国际环境和政府政策要求，软件产品提高国产化利用。供应商具有基于国产CPU、OS（操作系统）、数据库和中间件的可视化表单设计工具软件，可视化表单设计工具软件可供甲方软件研发使用。</w:t>
      </w:r>
    </w:p>
    <w:p w:rsidR="00B859A2" w:rsidRDefault="00B859A2" w:rsidP="00B859A2">
      <w:pPr>
        <w:keepNext/>
        <w:keepLines/>
        <w:numPr>
          <w:ilvl w:val="0"/>
          <w:numId w:val="5"/>
        </w:numPr>
        <w:spacing w:line="372" w:lineRule="auto"/>
        <w:outlineLvl w:val="3"/>
        <w:rPr>
          <w:rFonts w:ascii="Arial" w:eastAsia="黑体" w:hAnsi="Arial"/>
          <w:b/>
          <w:sz w:val="28"/>
        </w:rPr>
      </w:pPr>
      <w:r>
        <w:rPr>
          <w:rFonts w:ascii="Arial" w:eastAsia="黑体" w:hAnsi="Arial" w:hint="eastAsia"/>
          <w:b/>
          <w:sz w:val="28"/>
        </w:rPr>
        <w:t>政务云云服务资源</w:t>
      </w:r>
    </w:p>
    <w:p w:rsidR="00B859A2" w:rsidRDefault="00B859A2" w:rsidP="00B859A2">
      <w:pPr>
        <w:spacing w:line="46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t>本项目使用宿州市政务云云服务资源，资源需求如下：</w:t>
      </w:r>
    </w:p>
    <w:tbl>
      <w:tblPr>
        <w:tblW w:w="8118" w:type="dxa"/>
        <w:jc w:val="center"/>
        <w:shd w:val="clear" w:color="auto" w:fill="FFFFFF"/>
        <w:tblCellMar>
          <w:left w:w="0" w:type="dxa"/>
          <w:right w:w="0" w:type="dxa"/>
        </w:tblCellMar>
        <w:tblLook w:val="04A0"/>
      </w:tblPr>
      <w:tblGrid>
        <w:gridCol w:w="893"/>
        <w:gridCol w:w="2448"/>
        <w:gridCol w:w="2369"/>
        <w:gridCol w:w="1204"/>
        <w:gridCol w:w="1204"/>
      </w:tblGrid>
      <w:tr w:rsidR="00B859A2" w:rsidTr="003D0ED2">
        <w:trPr>
          <w:trHeight w:val="292"/>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序号</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服务类别</w:t>
            </w: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服务名称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计费要素</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数量</w:t>
            </w:r>
          </w:p>
        </w:tc>
      </w:tr>
      <w:tr w:rsidR="00B859A2" w:rsidTr="003D0ED2">
        <w:trPr>
          <w:trHeight w:val="28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云服务器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8核32G</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3</w:t>
            </w:r>
          </w:p>
        </w:tc>
      </w:tr>
      <w:tr w:rsidR="00B859A2" w:rsidTr="003D0ED2">
        <w:trPr>
          <w:trHeight w:val="28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云服务器（前置）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8核32G、1</w:t>
            </w:r>
            <w:r>
              <w:rPr>
                <w:rFonts w:ascii="宋体" w:hAnsi="宋体" w:cs="宋体"/>
                <w:sz w:val="24"/>
                <w:szCs w:val="22"/>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1</w:t>
            </w:r>
          </w:p>
        </w:tc>
      </w:tr>
      <w:tr w:rsidR="00B859A2" w:rsidTr="003D0ED2">
        <w:trPr>
          <w:trHeight w:val="20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存储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云硬盘</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GB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3000</w:t>
            </w:r>
          </w:p>
        </w:tc>
      </w:tr>
      <w:tr w:rsidR="00B859A2" w:rsidTr="003D0ED2">
        <w:trPr>
          <w:trHeight w:val="38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云网络</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互联网带宽</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Mb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30</w:t>
            </w:r>
          </w:p>
        </w:tc>
      </w:tr>
      <w:tr w:rsidR="00B859A2" w:rsidTr="003D0ED2">
        <w:trPr>
          <w:trHeight w:val="32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操作系统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Windows</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sz w:val="24"/>
                <w:szCs w:val="22"/>
              </w:rPr>
              <w:t>4</w:t>
            </w:r>
          </w:p>
        </w:tc>
      </w:tr>
      <w:tr w:rsidR="00B859A2" w:rsidTr="003D0ED2">
        <w:trPr>
          <w:trHeight w:val="32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网络安全服务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VPN接入服务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账户</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2</w:t>
            </w:r>
          </w:p>
        </w:tc>
      </w:tr>
    </w:tbl>
    <w:p w:rsidR="00B859A2" w:rsidRDefault="00B859A2" w:rsidP="00B859A2">
      <w:pPr>
        <w:rPr>
          <w:rFonts w:ascii="Calibri" w:hAnsi="Calibri" w:cs="宋体"/>
          <w:szCs w:val="22"/>
        </w:rPr>
      </w:pPr>
    </w:p>
    <w:p w:rsidR="00B859A2" w:rsidRDefault="00B859A2" w:rsidP="00B859A2">
      <w:pPr>
        <w:keepNext/>
        <w:keepLines/>
        <w:numPr>
          <w:ilvl w:val="0"/>
          <w:numId w:val="5"/>
        </w:numPr>
        <w:spacing w:line="372" w:lineRule="auto"/>
        <w:outlineLvl w:val="3"/>
        <w:rPr>
          <w:rFonts w:ascii="Arial" w:eastAsia="黑体" w:hAnsi="Arial"/>
          <w:b/>
          <w:sz w:val="28"/>
        </w:rPr>
      </w:pPr>
      <w:r>
        <w:rPr>
          <w:rFonts w:ascii="Arial" w:eastAsia="黑体" w:hAnsi="Arial" w:hint="eastAsia"/>
          <w:b/>
          <w:sz w:val="28"/>
        </w:rPr>
        <w:t>建设清单</w:t>
      </w:r>
    </w:p>
    <w:tbl>
      <w:tblPr>
        <w:tblW w:w="8558" w:type="dxa"/>
        <w:jc w:val="center"/>
        <w:shd w:val="clear" w:color="auto" w:fill="FFFFFF"/>
        <w:tblLayout w:type="fixed"/>
        <w:tblCellMar>
          <w:left w:w="0" w:type="dxa"/>
          <w:right w:w="0" w:type="dxa"/>
        </w:tblCellMar>
        <w:tblLook w:val="04A0"/>
      </w:tblPr>
      <w:tblGrid>
        <w:gridCol w:w="733"/>
        <w:gridCol w:w="2815"/>
        <w:gridCol w:w="4084"/>
        <w:gridCol w:w="926"/>
      </w:tblGrid>
      <w:tr w:rsidR="00B859A2" w:rsidTr="003D0ED2">
        <w:trPr>
          <w:trHeight w:val="29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序号</w:t>
            </w:r>
          </w:p>
        </w:tc>
        <w:tc>
          <w:tcPr>
            <w:tcW w:w="2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hint="eastAsia"/>
                <w:sz w:val="24"/>
                <w:szCs w:val="24"/>
              </w:rPr>
              <w:t>名称</w:t>
            </w:r>
          </w:p>
        </w:tc>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hint="eastAsia"/>
                <w:sz w:val="24"/>
                <w:szCs w:val="24"/>
              </w:rPr>
              <w:t>详细</w:t>
            </w:r>
            <w:r>
              <w:rPr>
                <w:rFonts w:ascii="宋体" w:hAnsi="宋体"/>
                <w:sz w:val="24"/>
                <w:szCs w:val="24"/>
              </w:rPr>
              <w:t>说明</w:t>
            </w:r>
          </w:p>
        </w:tc>
        <w:tc>
          <w:tcPr>
            <w:tcW w:w="9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数量</w:t>
            </w:r>
          </w:p>
        </w:tc>
      </w:tr>
      <w:tr w:rsidR="00B859A2" w:rsidTr="003D0ED2">
        <w:trPr>
          <w:trHeight w:val="497"/>
          <w:jc w:val="center"/>
        </w:trPr>
        <w:tc>
          <w:tcPr>
            <w:tcW w:w="73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（一）</w:t>
            </w:r>
          </w:p>
        </w:tc>
        <w:tc>
          <w:tcPr>
            <w:tcW w:w="689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left"/>
              <w:rPr>
                <w:rFonts w:ascii="宋体" w:hAnsi="宋体" w:cs="宋体"/>
                <w:sz w:val="24"/>
                <w:szCs w:val="22"/>
              </w:rPr>
            </w:pPr>
            <w:r>
              <w:rPr>
                <w:rFonts w:ascii="宋体" w:hAnsi="宋体" w:hint="eastAsia"/>
                <w:sz w:val="24"/>
                <w:szCs w:val="24"/>
              </w:rPr>
              <w:t>国资监管软件</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p>
        </w:tc>
      </w:tr>
      <w:tr w:rsidR="00B859A2" w:rsidTr="003D0ED2">
        <w:trPr>
          <w:trHeight w:val="977"/>
          <w:jc w:val="center"/>
        </w:trPr>
        <w:tc>
          <w:tcPr>
            <w:tcW w:w="733" w:type="dxa"/>
            <w:vMerge w:val="restart"/>
            <w:tcBorders>
              <w:top w:val="single" w:sz="4" w:space="0" w:color="000000"/>
              <w:left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hint="eastAsia"/>
                <w:sz w:val="24"/>
                <w:szCs w:val="24"/>
              </w:rPr>
              <w:t>应用支撑平台和数据采集交换共享平台购置</w:t>
            </w:r>
          </w:p>
        </w:tc>
        <w:tc>
          <w:tcPr>
            <w:tcW w:w="40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hint="eastAsia"/>
                <w:sz w:val="24"/>
                <w:szCs w:val="24"/>
              </w:rPr>
              <w:t>应用支撑平台和数据采集交换共享平台购置</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1套</w:t>
            </w:r>
          </w:p>
        </w:tc>
      </w:tr>
      <w:tr w:rsidR="00B859A2" w:rsidTr="003D0ED2">
        <w:trPr>
          <w:trHeight w:val="887"/>
          <w:jc w:val="center"/>
        </w:trPr>
        <w:tc>
          <w:tcPr>
            <w:tcW w:w="733" w:type="dxa"/>
            <w:vMerge/>
            <w:tcBorders>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hint="eastAsia"/>
                <w:sz w:val="24"/>
                <w:szCs w:val="24"/>
              </w:rPr>
              <w:t>应用软件开发</w:t>
            </w:r>
          </w:p>
        </w:tc>
        <w:tc>
          <w:tcPr>
            <w:tcW w:w="40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hint="eastAsia"/>
                <w:sz w:val="24"/>
                <w:szCs w:val="24"/>
                <w:shd w:val="clear" w:color="auto" w:fill="FFFFFF"/>
              </w:rPr>
              <w:t>国有企业组织机构基本信息管理系统和“三重一大”决策</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1套</w:t>
            </w:r>
          </w:p>
        </w:tc>
      </w:tr>
      <w:tr w:rsidR="00B859A2" w:rsidTr="003D0ED2">
        <w:trPr>
          <w:trHeight w:val="65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（二）</w:t>
            </w:r>
          </w:p>
        </w:tc>
        <w:tc>
          <w:tcPr>
            <w:tcW w:w="689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left"/>
              <w:rPr>
                <w:rFonts w:ascii="宋体" w:hAnsi="宋体" w:cs="宋体"/>
                <w:sz w:val="24"/>
                <w:szCs w:val="22"/>
              </w:rPr>
            </w:pPr>
            <w:r>
              <w:rPr>
                <w:rFonts w:ascii="宋体" w:hAnsi="宋体" w:hint="eastAsia"/>
                <w:sz w:val="24"/>
                <w:szCs w:val="24"/>
              </w:rPr>
              <w:t>云服务产品</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p>
        </w:tc>
      </w:tr>
      <w:tr w:rsidR="00B859A2" w:rsidTr="003D0ED2">
        <w:trPr>
          <w:trHeight w:val="32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5</w:t>
            </w:r>
          </w:p>
        </w:tc>
        <w:tc>
          <w:tcPr>
            <w:tcW w:w="28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hint="eastAsia"/>
                <w:sz w:val="24"/>
                <w:szCs w:val="24"/>
              </w:rPr>
              <w:t>云服务租赁</w:t>
            </w:r>
          </w:p>
        </w:tc>
        <w:tc>
          <w:tcPr>
            <w:tcW w:w="40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left"/>
              <w:rPr>
                <w:rFonts w:ascii="宋体" w:hAnsi="宋体" w:cs="宋体"/>
                <w:sz w:val="24"/>
                <w:szCs w:val="22"/>
              </w:rPr>
            </w:pPr>
            <w:r>
              <w:rPr>
                <w:rFonts w:ascii="宋体" w:hAnsi="宋体" w:hint="eastAsia"/>
                <w:sz w:val="24"/>
                <w:szCs w:val="24"/>
              </w:rPr>
              <w:t>云服务方式</w:t>
            </w:r>
            <w:r w:rsidRPr="004E6B63">
              <w:rPr>
                <w:rFonts w:ascii="宋体" w:hAnsi="宋体" w:hint="eastAsia"/>
                <w:sz w:val="24"/>
                <w:szCs w:val="24"/>
              </w:rPr>
              <w:t>：4台云服务器、1台云存储、网络带宽；（本次采购云</w:t>
            </w:r>
            <w:r>
              <w:rPr>
                <w:rFonts w:ascii="宋体" w:hAnsi="宋体" w:hint="eastAsia"/>
                <w:sz w:val="24"/>
                <w:szCs w:val="24"/>
              </w:rPr>
              <w:t>服务</w:t>
            </w:r>
            <w:r>
              <w:rPr>
                <w:rFonts w:ascii="宋体" w:hAnsi="宋体"/>
                <w:sz w:val="24"/>
                <w:szCs w:val="24"/>
              </w:rPr>
              <w:t>3</w:t>
            </w:r>
            <w:r>
              <w:rPr>
                <w:rFonts w:ascii="宋体" w:hAnsi="宋体" w:hint="eastAsia"/>
                <w:sz w:val="24"/>
                <w:szCs w:val="24"/>
              </w:rPr>
              <w:t>年，每年支付费用）</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szCs w:val="22"/>
              </w:rPr>
            </w:pPr>
            <w:r>
              <w:rPr>
                <w:rFonts w:ascii="宋体" w:hAnsi="宋体" w:cs="宋体" w:hint="eastAsia"/>
                <w:sz w:val="24"/>
                <w:szCs w:val="22"/>
              </w:rPr>
              <w:t>3年</w:t>
            </w:r>
          </w:p>
        </w:tc>
      </w:tr>
    </w:tbl>
    <w:p w:rsidR="00435504" w:rsidRDefault="00435504"/>
    <w:sectPr w:rsidR="00435504" w:rsidSect="004355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DD7" w:rsidRDefault="00B22DD7" w:rsidP="00B859A2">
      <w:r>
        <w:separator/>
      </w:r>
    </w:p>
  </w:endnote>
  <w:endnote w:type="continuationSeparator" w:id="0">
    <w:p w:rsidR="00B22DD7" w:rsidRDefault="00B22DD7" w:rsidP="00B85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DD7" w:rsidRDefault="00B22DD7" w:rsidP="00B859A2">
      <w:r>
        <w:separator/>
      </w:r>
    </w:p>
  </w:footnote>
  <w:footnote w:type="continuationSeparator" w:id="0">
    <w:p w:rsidR="00B22DD7" w:rsidRDefault="00B22DD7" w:rsidP="00B859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4"/>
    <w:multiLevelType w:val="multilevel"/>
    <w:tmpl w:val="0000000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05"/>
    <w:multiLevelType w:val="singleLevel"/>
    <w:tmpl w:val="00000005"/>
    <w:lvl w:ilvl="0">
      <w:start w:val="5"/>
      <w:numFmt w:val="decimal"/>
      <w:suff w:val="nothing"/>
      <w:lvlText w:val="（%1）"/>
      <w:lvlJc w:val="left"/>
    </w:lvl>
  </w:abstractNum>
  <w:abstractNum w:abstractNumId="3">
    <w:nsid w:val="2BB4605E"/>
    <w:multiLevelType w:val="multilevel"/>
    <w:tmpl w:val="2BB4605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52650A3"/>
    <w:multiLevelType w:val="singleLevel"/>
    <w:tmpl w:val="552650A3"/>
    <w:lvl w:ilvl="0">
      <w:start w:val="1"/>
      <w:numFmt w:val="chineseCounting"/>
      <w:suff w:val="nothing"/>
      <w:lvlText w:val="%1、"/>
      <w:lvlJc w:val="left"/>
      <w:pPr>
        <w:ind w:left="0" w:firstLine="0"/>
      </w:pPr>
      <w:rPr>
        <w:rFonts w:hint="eastAsia"/>
        <w:lang w:val="en-U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59A2"/>
    <w:rsid w:val="00435504"/>
    <w:rsid w:val="004947D0"/>
    <w:rsid w:val="00B22DD7"/>
    <w:rsid w:val="00B859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859A2"/>
    <w:pPr>
      <w:widowControl w:val="0"/>
      <w:jc w:val="both"/>
    </w:pPr>
    <w:rPr>
      <w:rFonts w:ascii="Times New Roman" w:eastAsia="宋体" w:hAnsi="Times New Roman" w:cs="Times New Roman"/>
      <w:szCs w:val="21"/>
    </w:rPr>
  </w:style>
  <w:style w:type="paragraph" w:styleId="20">
    <w:name w:val="heading 2"/>
    <w:basedOn w:val="a"/>
    <w:next w:val="a"/>
    <w:link w:val="2Char"/>
    <w:uiPriority w:val="9"/>
    <w:semiHidden/>
    <w:unhideWhenUsed/>
    <w:qFormat/>
    <w:rsid w:val="00B859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59A2"/>
    <w:rPr>
      <w:sz w:val="18"/>
      <w:szCs w:val="18"/>
    </w:rPr>
  </w:style>
  <w:style w:type="paragraph" w:styleId="a4">
    <w:name w:val="footer"/>
    <w:basedOn w:val="a"/>
    <w:link w:val="Char0"/>
    <w:uiPriority w:val="99"/>
    <w:semiHidden/>
    <w:unhideWhenUsed/>
    <w:rsid w:val="00B859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59A2"/>
    <w:rPr>
      <w:sz w:val="18"/>
      <w:szCs w:val="18"/>
    </w:rPr>
  </w:style>
  <w:style w:type="paragraph" w:customStyle="1" w:styleId="H1">
    <w:name w:val="H1"/>
    <w:basedOn w:val="20"/>
    <w:next w:val="a"/>
    <w:qFormat/>
    <w:rsid w:val="00B859A2"/>
    <w:pPr>
      <w:spacing w:before="0" w:after="0" w:line="600" w:lineRule="exact"/>
      <w:jc w:val="center"/>
    </w:pPr>
    <w:rPr>
      <w:rFonts w:ascii="宋体" w:eastAsia="黑体" w:hAnsi="宋体" w:cs="宋体"/>
      <w:color w:val="000000"/>
    </w:rPr>
  </w:style>
  <w:style w:type="paragraph" w:styleId="a5">
    <w:name w:val="List Paragraph"/>
    <w:basedOn w:val="a"/>
    <w:uiPriority w:val="34"/>
    <w:qFormat/>
    <w:rsid w:val="00B859A2"/>
    <w:pPr>
      <w:ind w:firstLineChars="200" w:firstLine="420"/>
    </w:pPr>
  </w:style>
  <w:style w:type="paragraph" w:styleId="a6">
    <w:name w:val="Body Text Indent"/>
    <w:basedOn w:val="a"/>
    <w:link w:val="Char1"/>
    <w:uiPriority w:val="99"/>
    <w:semiHidden/>
    <w:unhideWhenUsed/>
    <w:rsid w:val="00B859A2"/>
    <w:pPr>
      <w:spacing w:after="120"/>
      <w:ind w:leftChars="200" w:left="420"/>
    </w:pPr>
  </w:style>
  <w:style w:type="character" w:customStyle="1" w:styleId="Char1">
    <w:name w:val="正文文本缩进 Char"/>
    <w:basedOn w:val="a0"/>
    <w:link w:val="a6"/>
    <w:uiPriority w:val="99"/>
    <w:semiHidden/>
    <w:rsid w:val="00B859A2"/>
    <w:rPr>
      <w:rFonts w:ascii="Times New Roman" w:eastAsia="宋体" w:hAnsi="Times New Roman" w:cs="Times New Roman"/>
      <w:szCs w:val="21"/>
    </w:rPr>
  </w:style>
  <w:style w:type="paragraph" w:styleId="2">
    <w:name w:val="Body Text First Indent 2"/>
    <w:basedOn w:val="a6"/>
    <w:link w:val="2Char0"/>
    <w:uiPriority w:val="99"/>
    <w:semiHidden/>
    <w:unhideWhenUsed/>
    <w:rsid w:val="00B859A2"/>
    <w:pPr>
      <w:ind w:firstLineChars="200" w:firstLine="420"/>
    </w:pPr>
  </w:style>
  <w:style w:type="character" w:customStyle="1" w:styleId="2Char0">
    <w:name w:val="正文首行缩进 2 Char"/>
    <w:basedOn w:val="Char1"/>
    <w:link w:val="2"/>
    <w:uiPriority w:val="99"/>
    <w:semiHidden/>
    <w:rsid w:val="00B859A2"/>
  </w:style>
  <w:style w:type="character" w:customStyle="1" w:styleId="2Char">
    <w:name w:val="标题 2 Char"/>
    <w:basedOn w:val="a0"/>
    <w:link w:val="20"/>
    <w:uiPriority w:val="9"/>
    <w:semiHidden/>
    <w:rsid w:val="00B859A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756</Words>
  <Characters>4314</Characters>
  <Application>Microsoft Office Word</Application>
  <DocSecurity>0</DocSecurity>
  <Lines>35</Lines>
  <Paragraphs>10</Paragraphs>
  <ScaleCrop>false</ScaleCrop>
  <Company>china</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2021-07-20T02:27:00Z</dcterms:created>
  <dcterms:modified xsi:type="dcterms:W3CDTF">2021-07-20T02:33:00Z</dcterms:modified>
</cp:coreProperties>
</file>