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44"/>
          <w:szCs w:val="44"/>
        </w:rPr>
      </w:pPr>
      <w:r>
        <w:rPr>
          <w:rFonts w:hint="eastAsia" w:ascii="宋体" w:hAnsi="宋体"/>
          <w:b/>
          <w:bCs/>
          <w:sz w:val="44"/>
          <w:szCs w:val="44"/>
          <w:u w:val="single"/>
        </w:rPr>
        <w:t>宿州交通文化旅游投资集团有限公司转型战略规划和内部管控提升方案采购</w:t>
      </w:r>
      <w:r>
        <w:rPr>
          <w:rFonts w:hint="eastAsia" w:ascii="宋体" w:hAnsi="宋体"/>
          <w:b/>
          <w:bCs/>
          <w:sz w:val="44"/>
          <w:szCs w:val="44"/>
        </w:rPr>
        <w:t>项目</w:t>
      </w:r>
    </w:p>
    <w:p>
      <w:pPr>
        <w:spacing w:line="800" w:lineRule="exact"/>
        <w:jc w:val="center"/>
        <w:rPr>
          <w:rFonts w:ascii="宋体" w:hAnsi="宋体"/>
          <w:sz w:val="24"/>
          <w:szCs w:val="24"/>
        </w:rPr>
      </w:pPr>
    </w:p>
    <w:p>
      <w:pPr>
        <w:spacing w:line="800" w:lineRule="exact"/>
        <w:jc w:val="center"/>
        <w:rPr>
          <w:rFonts w:ascii="黑体" w:eastAsia="黑体"/>
          <w:b/>
          <w:bCs/>
          <w:sz w:val="52"/>
          <w:szCs w:val="52"/>
        </w:rPr>
      </w:pPr>
      <w:r>
        <w:rPr>
          <w:rFonts w:hint="eastAsia" w:ascii="黑体" w:eastAsia="黑体"/>
          <w:b/>
          <w:bCs/>
          <w:sz w:val="52"/>
          <w:szCs w:val="52"/>
        </w:rPr>
        <w:t>竞</w:t>
      </w:r>
    </w:p>
    <w:p>
      <w:pPr>
        <w:spacing w:line="800" w:lineRule="exact"/>
        <w:jc w:val="center"/>
        <w:rPr>
          <w:rFonts w:ascii="黑体" w:eastAsia="黑体"/>
          <w:b/>
          <w:bCs/>
          <w:sz w:val="52"/>
          <w:szCs w:val="52"/>
        </w:rPr>
      </w:pPr>
      <w:r>
        <w:rPr>
          <w:rFonts w:hint="eastAsia" w:ascii="黑体" w:eastAsia="黑体"/>
          <w:b/>
          <w:bCs/>
          <w:sz w:val="52"/>
          <w:szCs w:val="52"/>
        </w:rPr>
        <w:t>争</w:t>
      </w:r>
    </w:p>
    <w:p>
      <w:pPr>
        <w:spacing w:line="800" w:lineRule="exact"/>
        <w:jc w:val="center"/>
        <w:rPr>
          <w:rFonts w:ascii="黑体" w:eastAsia="黑体"/>
          <w:b/>
          <w:bCs/>
          <w:sz w:val="52"/>
          <w:szCs w:val="52"/>
        </w:rPr>
      </w:pPr>
      <w:r>
        <w:rPr>
          <w:rFonts w:hint="eastAsia" w:ascii="黑体" w:eastAsia="黑体"/>
          <w:b/>
          <w:bCs/>
          <w:sz w:val="52"/>
          <w:szCs w:val="52"/>
        </w:rPr>
        <w:t>性</w:t>
      </w:r>
    </w:p>
    <w:p>
      <w:pPr>
        <w:spacing w:line="800" w:lineRule="exact"/>
        <w:jc w:val="center"/>
        <w:rPr>
          <w:rFonts w:ascii="黑体" w:eastAsia="黑体"/>
          <w:b/>
          <w:bCs/>
          <w:sz w:val="52"/>
          <w:szCs w:val="52"/>
        </w:rPr>
      </w:pPr>
      <w:r>
        <w:rPr>
          <w:rFonts w:hint="eastAsia" w:ascii="黑体" w:eastAsia="黑体"/>
          <w:b/>
          <w:bCs/>
          <w:sz w:val="52"/>
          <w:szCs w:val="52"/>
        </w:rPr>
        <w:t>磋</w:t>
      </w:r>
    </w:p>
    <w:p>
      <w:pPr>
        <w:spacing w:line="800" w:lineRule="exact"/>
        <w:jc w:val="center"/>
        <w:rPr>
          <w:rFonts w:ascii="黑体" w:eastAsia="黑体"/>
          <w:b/>
          <w:bCs/>
          <w:sz w:val="52"/>
          <w:szCs w:val="52"/>
        </w:rPr>
      </w:pPr>
      <w:r>
        <w:rPr>
          <w:rFonts w:hint="eastAsia" w:ascii="黑体" w:eastAsia="黑体"/>
          <w:b/>
          <w:bCs/>
          <w:sz w:val="52"/>
          <w:szCs w:val="52"/>
        </w:rPr>
        <w:t>商</w:t>
      </w:r>
    </w:p>
    <w:p>
      <w:pPr>
        <w:spacing w:line="800" w:lineRule="exact"/>
        <w:jc w:val="center"/>
        <w:rPr>
          <w:rFonts w:ascii="黑体" w:eastAsia="黑体"/>
          <w:b/>
          <w:bCs/>
          <w:sz w:val="52"/>
          <w:szCs w:val="52"/>
        </w:rPr>
      </w:pPr>
      <w:r>
        <w:rPr>
          <w:rFonts w:hint="eastAsia" w:ascii="黑体" w:eastAsia="黑体"/>
          <w:b/>
          <w:bCs/>
          <w:sz w:val="52"/>
          <w:szCs w:val="52"/>
        </w:rPr>
        <w:t>文</w:t>
      </w:r>
    </w:p>
    <w:p>
      <w:pPr>
        <w:spacing w:line="800" w:lineRule="exact"/>
        <w:jc w:val="center"/>
        <w:rPr>
          <w:rFonts w:ascii="宋体" w:hAnsi="宋体"/>
          <w:b/>
          <w:bCs/>
          <w:sz w:val="44"/>
          <w:szCs w:val="44"/>
        </w:rPr>
      </w:pPr>
      <w:r>
        <w:rPr>
          <w:rFonts w:hint="eastAsia" w:ascii="黑体" w:eastAsia="黑体"/>
          <w:b/>
          <w:bCs/>
          <w:sz w:val="52"/>
          <w:szCs w:val="52"/>
        </w:rPr>
        <w:t>件</w:t>
      </w:r>
    </w:p>
    <w:p>
      <w:pPr>
        <w:spacing w:line="360" w:lineRule="auto"/>
        <w:ind w:firstLine="3477" w:firstLineChars="1237"/>
        <w:rPr>
          <w:rFonts w:ascii="黑体" w:hAnsi="宋体" w:eastAsia="黑体"/>
          <w:b/>
          <w:bCs/>
          <w:sz w:val="28"/>
          <w:szCs w:val="28"/>
        </w:rPr>
      </w:pPr>
      <w:r>
        <w:rPr>
          <w:rFonts w:hint="eastAsia" w:ascii="黑体" w:hAnsi="宋体" w:eastAsia="黑体"/>
          <w:b/>
          <w:bCs/>
          <w:sz w:val="28"/>
          <w:szCs w:val="28"/>
        </w:rPr>
        <w:t xml:space="preserve"> </w:t>
      </w:r>
    </w:p>
    <w:p>
      <w:pPr>
        <w:spacing w:line="360" w:lineRule="auto"/>
        <w:rPr>
          <w:rFonts w:ascii="宋体" w:hAnsi="宋体"/>
        </w:rPr>
      </w:pPr>
    </w:p>
    <w:p>
      <w:pPr>
        <w:pStyle w:val="2"/>
        <w:ind w:firstLine="560"/>
      </w:pPr>
    </w:p>
    <w:p>
      <w:pPr>
        <w:jc w:val="center"/>
        <w:rPr>
          <w:rFonts w:ascii="黑体" w:hAnsi="宋体" w:eastAsia="黑体"/>
          <w:sz w:val="28"/>
          <w:szCs w:val="28"/>
        </w:rPr>
      </w:pPr>
      <w:r>
        <w:rPr>
          <w:rFonts w:hint="eastAsia" w:ascii="黑体" w:hAnsi="宋体" w:eastAsia="黑体"/>
          <w:sz w:val="28"/>
          <w:szCs w:val="28"/>
        </w:rPr>
        <w:t>采购人：宿州交通文化旅游投资集团有限公司（盖章）</w:t>
      </w:r>
    </w:p>
    <w:p>
      <w:pPr>
        <w:jc w:val="center"/>
        <w:rPr>
          <w:rFonts w:ascii="黑体" w:hAnsi="宋体" w:eastAsia="黑体"/>
          <w:sz w:val="28"/>
          <w:szCs w:val="28"/>
        </w:rPr>
      </w:pPr>
      <w:r>
        <w:rPr>
          <w:rFonts w:hint="eastAsia" w:ascii="黑体" w:hAnsi="宋体" w:eastAsia="黑体"/>
          <w:sz w:val="28"/>
          <w:szCs w:val="28"/>
        </w:rPr>
        <w:t>代理机构： 宿州市骏达工程管理咨询有限公司 （盖章）</w:t>
      </w:r>
    </w:p>
    <w:p>
      <w:pPr>
        <w:spacing w:line="360" w:lineRule="auto"/>
        <w:ind w:right="42" w:rightChars="20"/>
        <w:jc w:val="center"/>
        <w:rPr>
          <w:rFonts w:ascii="宋体" w:hAnsi="宋体"/>
          <w:b/>
          <w:bCs/>
          <w:sz w:val="30"/>
          <w:szCs w:val="30"/>
        </w:rPr>
      </w:pPr>
      <w:r>
        <w:rPr>
          <w:rFonts w:hint="eastAsia" w:ascii="宋体" w:hAnsi="宋体"/>
          <w:b/>
          <w:bCs/>
          <w:sz w:val="30"/>
          <w:szCs w:val="30"/>
        </w:rPr>
        <w:t>2019</w:t>
      </w:r>
      <w:r>
        <w:rPr>
          <w:rFonts w:hint="eastAsia" w:ascii="黑体" w:hAnsi="宋体" w:eastAsia="黑体"/>
          <w:sz w:val="28"/>
          <w:szCs w:val="28"/>
        </w:rPr>
        <w:t>年11月</w:t>
      </w:r>
    </w:p>
    <w:p>
      <w:pPr>
        <w:jc w:val="center"/>
        <w:rPr>
          <w:rFonts w:ascii="黑体" w:hAnsi="黑体" w:eastAsia="黑体"/>
          <w:sz w:val="36"/>
          <w:szCs w:val="36"/>
        </w:rPr>
      </w:pPr>
      <w:r>
        <w:rPr>
          <w:rFonts w:hint="eastAsia" w:ascii="宋体" w:hAnsi="宋体" w:cs="Arial"/>
          <w:b/>
          <w:bCs/>
          <w:sz w:val="36"/>
          <w:szCs w:val="36"/>
        </w:rPr>
        <w:br w:type="page"/>
      </w:r>
      <w:bookmarkStart w:id="0" w:name="_Toc511899286"/>
      <w:bookmarkEnd w:id="0"/>
      <w:bookmarkStart w:id="1" w:name="_Toc272218544"/>
    </w:p>
    <w:p>
      <w:pPr>
        <w:spacing w:line="360" w:lineRule="exact"/>
        <w:ind w:firstLine="720" w:firstLineChars="200"/>
        <w:jc w:val="center"/>
        <w:rPr>
          <w:rFonts w:ascii="宋体" w:hAnsi="宋体" w:cs="宋体"/>
          <w:kern w:val="0"/>
          <w:sz w:val="24"/>
          <w:szCs w:val="24"/>
        </w:rPr>
      </w:pPr>
      <w:r>
        <w:rPr>
          <w:rFonts w:hint="eastAsia" w:ascii="黑体" w:hAnsi="黑体" w:eastAsia="黑体"/>
          <w:sz w:val="36"/>
          <w:szCs w:val="36"/>
        </w:rPr>
        <w:t xml:space="preserve"> </w:t>
      </w:r>
      <w:r>
        <w:rPr>
          <w:rFonts w:ascii="黑体" w:hAnsi="黑体" w:eastAsia="黑体"/>
          <w:sz w:val="36"/>
          <w:szCs w:val="36"/>
          <w:lang w:val="zh-CN"/>
        </w:rPr>
        <w:t>目</w:t>
      </w:r>
      <w:r>
        <w:rPr>
          <w:rFonts w:hint="eastAsia" w:ascii="黑体" w:hAnsi="黑体" w:eastAsia="黑体"/>
          <w:sz w:val="36"/>
          <w:szCs w:val="36"/>
          <w:lang w:val="zh-CN"/>
        </w:rPr>
        <w:t xml:space="preserve">  </w:t>
      </w:r>
      <w:r>
        <w:rPr>
          <w:rFonts w:ascii="黑体" w:hAnsi="黑体" w:eastAsia="黑体"/>
          <w:sz w:val="36"/>
          <w:szCs w:val="36"/>
          <w:lang w:val="zh-CN"/>
        </w:rPr>
        <w:t>录</w:t>
      </w:r>
    </w:p>
    <w:p>
      <w:pPr>
        <w:pStyle w:val="20"/>
        <w:tabs>
          <w:tab w:val="right" w:leader="dot" w:pos="8528"/>
        </w:tabs>
        <w:ind w:left="420"/>
      </w:pPr>
      <w:r>
        <w:rPr>
          <w:lang w:val="zh-CN"/>
        </w:rPr>
        <w:fldChar w:fldCharType="begin"/>
      </w:r>
      <w:r>
        <w:rPr>
          <w:lang w:val="zh-CN"/>
        </w:rPr>
        <w:instrText xml:space="preserve"> TOC \o "1-3" \h \z \u </w:instrText>
      </w:r>
      <w:r>
        <w:rPr>
          <w:lang w:val="zh-CN"/>
        </w:rPr>
        <w:fldChar w:fldCharType="separate"/>
      </w:r>
      <w:r>
        <w:fldChar w:fldCharType="begin"/>
      </w:r>
      <w:r>
        <w:instrText xml:space="preserve"> HYPERLINK \l "_Toc22919" </w:instrText>
      </w:r>
      <w:r>
        <w:fldChar w:fldCharType="separate"/>
      </w:r>
      <w:r>
        <w:rPr>
          <w:rFonts w:hint="eastAsia" w:ascii="宋体" w:hAnsi="宋体" w:eastAsia="宋体" w:cs="宋体"/>
        </w:rPr>
        <w:t>第一章 竞争性磋商公告</w:t>
      </w:r>
      <w:r>
        <w:tab/>
      </w:r>
      <w:r>
        <w:fldChar w:fldCharType="begin"/>
      </w:r>
      <w:r>
        <w:instrText xml:space="preserve"> PAGEREF _Toc22919 </w:instrText>
      </w:r>
      <w:r>
        <w:fldChar w:fldCharType="separate"/>
      </w:r>
      <w:r>
        <w:t>4</w:t>
      </w:r>
      <w:r>
        <w:fldChar w:fldCharType="end"/>
      </w:r>
      <w:r>
        <w:fldChar w:fldCharType="end"/>
      </w:r>
    </w:p>
    <w:p>
      <w:pPr>
        <w:pStyle w:val="10"/>
        <w:tabs>
          <w:tab w:val="right" w:leader="dot" w:pos="8528"/>
        </w:tabs>
        <w:ind w:left="840"/>
      </w:pPr>
      <w:r>
        <w:fldChar w:fldCharType="begin"/>
      </w:r>
      <w:r>
        <w:instrText xml:space="preserve"> HYPERLINK \l "_Toc31615" </w:instrText>
      </w:r>
      <w:r>
        <w:fldChar w:fldCharType="separate"/>
      </w:r>
      <w:r>
        <w:rPr>
          <w:rFonts w:hint="eastAsia" w:ascii="宋体" w:hAnsi="宋体" w:cs="宋体"/>
        </w:rPr>
        <w:t>一、项目名称及内容</w:t>
      </w:r>
      <w:r>
        <w:tab/>
      </w:r>
      <w:r>
        <w:fldChar w:fldCharType="begin"/>
      </w:r>
      <w:r>
        <w:instrText xml:space="preserve"> PAGEREF _Toc31615 </w:instrText>
      </w:r>
      <w:r>
        <w:fldChar w:fldCharType="separate"/>
      </w:r>
      <w:r>
        <w:t>4</w:t>
      </w:r>
      <w:r>
        <w:fldChar w:fldCharType="end"/>
      </w:r>
      <w:r>
        <w:fldChar w:fldCharType="end"/>
      </w:r>
    </w:p>
    <w:p>
      <w:pPr>
        <w:pStyle w:val="10"/>
        <w:tabs>
          <w:tab w:val="right" w:leader="dot" w:pos="8528"/>
        </w:tabs>
        <w:ind w:left="840"/>
      </w:pPr>
      <w:r>
        <w:fldChar w:fldCharType="begin"/>
      </w:r>
      <w:r>
        <w:instrText xml:space="preserve"> HYPERLINK \l "_Toc12905" </w:instrText>
      </w:r>
      <w:r>
        <w:fldChar w:fldCharType="separate"/>
      </w:r>
      <w:r>
        <w:rPr>
          <w:rFonts w:hint="eastAsia" w:ascii="宋体" w:hAnsi="宋体" w:cs="宋体"/>
        </w:rPr>
        <w:t>二、供应商资格</w:t>
      </w:r>
      <w:r>
        <w:tab/>
      </w:r>
      <w:r>
        <w:fldChar w:fldCharType="begin"/>
      </w:r>
      <w:r>
        <w:instrText xml:space="preserve"> PAGEREF _Toc12905 </w:instrText>
      </w:r>
      <w:r>
        <w:fldChar w:fldCharType="separate"/>
      </w:r>
      <w:r>
        <w:t>5</w:t>
      </w:r>
      <w:r>
        <w:fldChar w:fldCharType="end"/>
      </w:r>
      <w:r>
        <w:fldChar w:fldCharType="end"/>
      </w:r>
    </w:p>
    <w:p>
      <w:pPr>
        <w:pStyle w:val="10"/>
        <w:tabs>
          <w:tab w:val="right" w:leader="dot" w:pos="8528"/>
        </w:tabs>
        <w:ind w:left="840"/>
      </w:pPr>
      <w:r>
        <w:fldChar w:fldCharType="begin"/>
      </w:r>
      <w:r>
        <w:instrText xml:space="preserve"> HYPERLINK \l "_Toc10474" </w:instrText>
      </w:r>
      <w:r>
        <w:fldChar w:fldCharType="separate"/>
      </w:r>
      <w:r>
        <w:rPr>
          <w:rFonts w:hint="eastAsia" w:ascii="宋体" w:hAnsi="宋体" w:cs="宋体"/>
          <w:bCs/>
        </w:rPr>
        <w:t>三、磋商文件</w:t>
      </w:r>
      <w:r>
        <w:rPr>
          <w:rFonts w:hint="eastAsia" w:cs="宋体"/>
          <w:bCs/>
        </w:rPr>
        <w:t>获取</w:t>
      </w:r>
      <w:r>
        <w:rPr>
          <w:rFonts w:hint="eastAsia" w:ascii="宋体" w:hAnsi="宋体" w:cs="宋体"/>
          <w:bCs/>
        </w:rPr>
        <w:t>办法</w:t>
      </w:r>
      <w:r>
        <w:tab/>
      </w:r>
      <w:r>
        <w:fldChar w:fldCharType="begin"/>
      </w:r>
      <w:r>
        <w:instrText xml:space="preserve"> PAGEREF _Toc10474 </w:instrText>
      </w:r>
      <w:r>
        <w:fldChar w:fldCharType="separate"/>
      </w:r>
      <w:r>
        <w:t>6</w:t>
      </w:r>
      <w:r>
        <w:fldChar w:fldCharType="end"/>
      </w:r>
      <w:r>
        <w:fldChar w:fldCharType="end"/>
      </w:r>
    </w:p>
    <w:p>
      <w:pPr>
        <w:pStyle w:val="20"/>
        <w:tabs>
          <w:tab w:val="right" w:leader="dot" w:pos="8528"/>
        </w:tabs>
        <w:ind w:left="420"/>
      </w:pPr>
      <w:r>
        <w:fldChar w:fldCharType="begin"/>
      </w:r>
      <w:r>
        <w:instrText xml:space="preserve"> HYPERLINK \l "_Toc24219" </w:instrText>
      </w:r>
      <w:r>
        <w:fldChar w:fldCharType="separate"/>
      </w:r>
      <w:r>
        <w:rPr>
          <w:rFonts w:hint="eastAsia" w:ascii="黑体"/>
        </w:rPr>
        <w:t>第二章</w:t>
      </w:r>
      <w:r>
        <w:rPr>
          <w:rFonts w:hint="eastAsia"/>
        </w:rPr>
        <w:t xml:space="preserve"> </w:t>
      </w:r>
      <w:r>
        <w:rPr>
          <w:rFonts w:hint="eastAsia" w:ascii="黑体"/>
        </w:rPr>
        <w:t>供应商须知前附表</w:t>
      </w:r>
      <w:r>
        <w:tab/>
      </w:r>
      <w:r>
        <w:fldChar w:fldCharType="begin"/>
      </w:r>
      <w:r>
        <w:instrText xml:space="preserve"> PAGEREF _Toc24219 </w:instrText>
      </w:r>
      <w:r>
        <w:fldChar w:fldCharType="separate"/>
      </w:r>
      <w:r>
        <w:t>8</w:t>
      </w:r>
      <w:r>
        <w:fldChar w:fldCharType="end"/>
      </w:r>
      <w:r>
        <w:fldChar w:fldCharType="end"/>
      </w:r>
    </w:p>
    <w:p>
      <w:pPr>
        <w:pStyle w:val="20"/>
        <w:tabs>
          <w:tab w:val="right" w:leader="dot" w:pos="8528"/>
        </w:tabs>
        <w:ind w:left="420"/>
      </w:pPr>
      <w:r>
        <w:fldChar w:fldCharType="begin"/>
      </w:r>
      <w:r>
        <w:instrText xml:space="preserve"> HYPERLINK \l "_Toc28951" </w:instrText>
      </w:r>
      <w:r>
        <w:fldChar w:fldCharType="separate"/>
      </w:r>
      <w:r>
        <w:rPr>
          <w:rFonts w:hint="eastAsia" w:ascii="黑体"/>
        </w:rPr>
        <w:t>第三章</w:t>
      </w:r>
      <w:r>
        <w:rPr>
          <w:rFonts w:hint="eastAsia"/>
        </w:rPr>
        <w:t xml:space="preserve"> </w:t>
      </w:r>
      <w:r>
        <w:rPr>
          <w:rFonts w:hint="eastAsia" w:ascii="黑体"/>
        </w:rPr>
        <w:t>货物服务要求</w:t>
      </w:r>
      <w:r>
        <w:rPr>
          <w:rFonts w:hint="eastAsia"/>
        </w:rPr>
        <w:t>/</w:t>
      </w:r>
      <w:r>
        <w:rPr>
          <w:rFonts w:hint="eastAsia" w:ascii="黑体"/>
        </w:rPr>
        <w:t>项目要求</w:t>
      </w:r>
      <w:r>
        <w:tab/>
      </w:r>
      <w:r>
        <w:fldChar w:fldCharType="begin"/>
      </w:r>
      <w:r>
        <w:instrText xml:space="preserve"> PAGEREF _Toc28951 </w:instrText>
      </w:r>
      <w:r>
        <w:fldChar w:fldCharType="separate"/>
      </w:r>
      <w:r>
        <w:t>12</w:t>
      </w:r>
      <w:r>
        <w:fldChar w:fldCharType="end"/>
      </w:r>
      <w:r>
        <w:fldChar w:fldCharType="end"/>
      </w:r>
    </w:p>
    <w:p>
      <w:pPr>
        <w:pStyle w:val="10"/>
        <w:tabs>
          <w:tab w:val="right" w:leader="dot" w:pos="8528"/>
        </w:tabs>
        <w:ind w:left="840"/>
      </w:pPr>
      <w:r>
        <w:fldChar w:fldCharType="begin"/>
      </w:r>
      <w:r>
        <w:instrText xml:space="preserve"> HYPERLINK \l "_Toc24936" </w:instrText>
      </w:r>
      <w:r>
        <w:fldChar w:fldCharType="separate"/>
      </w:r>
      <w:r>
        <w:rPr>
          <w:rFonts w:hint="eastAsia"/>
          <w:bCs/>
          <w:szCs w:val="30"/>
        </w:rPr>
        <w:t>一、 详细技术参数要求/项目要求：</w:t>
      </w:r>
      <w:r>
        <w:tab/>
      </w:r>
      <w:r>
        <w:fldChar w:fldCharType="begin"/>
      </w:r>
      <w:r>
        <w:instrText xml:space="preserve"> PAGEREF _Toc24936 </w:instrText>
      </w:r>
      <w:r>
        <w:fldChar w:fldCharType="separate"/>
      </w:r>
      <w:r>
        <w:t>12</w:t>
      </w:r>
      <w:r>
        <w:fldChar w:fldCharType="end"/>
      </w:r>
      <w:r>
        <w:fldChar w:fldCharType="end"/>
      </w:r>
    </w:p>
    <w:p>
      <w:pPr>
        <w:pStyle w:val="10"/>
        <w:tabs>
          <w:tab w:val="right" w:leader="dot" w:pos="8528"/>
        </w:tabs>
        <w:ind w:left="840"/>
      </w:pPr>
      <w:r>
        <w:fldChar w:fldCharType="begin"/>
      </w:r>
      <w:r>
        <w:instrText xml:space="preserve"> HYPERLINK \l "_Toc4562" </w:instrText>
      </w:r>
      <w:r>
        <w:fldChar w:fldCharType="separate"/>
      </w:r>
      <w:r>
        <w:rPr>
          <w:rFonts w:hint="eastAsia"/>
        </w:rPr>
        <w:t>二、商务要求</w:t>
      </w:r>
      <w:r>
        <w:tab/>
      </w:r>
      <w:r>
        <w:fldChar w:fldCharType="begin"/>
      </w:r>
      <w:r>
        <w:instrText xml:space="preserve"> PAGEREF _Toc4562 </w:instrText>
      </w:r>
      <w:r>
        <w:fldChar w:fldCharType="separate"/>
      </w:r>
      <w:r>
        <w:t>15</w:t>
      </w:r>
      <w:r>
        <w:fldChar w:fldCharType="end"/>
      </w:r>
      <w:r>
        <w:fldChar w:fldCharType="end"/>
      </w:r>
    </w:p>
    <w:p>
      <w:pPr>
        <w:pStyle w:val="20"/>
        <w:tabs>
          <w:tab w:val="right" w:leader="dot" w:pos="8528"/>
        </w:tabs>
        <w:ind w:left="420"/>
      </w:pPr>
      <w:r>
        <w:fldChar w:fldCharType="begin"/>
      </w:r>
      <w:r>
        <w:instrText xml:space="preserve"> HYPERLINK \l "_Toc21102" </w:instrText>
      </w:r>
      <w:r>
        <w:fldChar w:fldCharType="separate"/>
      </w:r>
      <w:r>
        <w:rPr>
          <w:rFonts w:hint="eastAsia" w:ascii="黑体"/>
        </w:rPr>
        <w:t>第四章</w:t>
      </w:r>
      <w:r>
        <w:rPr>
          <w:rFonts w:hint="eastAsia"/>
        </w:rPr>
        <w:t xml:space="preserve"> </w:t>
      </w:r>
      <w:r>
        <w:rPr>
          <w:rFonts w:hint="eastAsia" w:ascii="黑体"/>
        </w:rPr>
        <w:t>实质性响应审查</w:t>
      </w:r>
      <w:r>
        <w:tab/>
      </w:r>
      <w:r>
        <w:fldChar w:fldCharType="begin"/>
      </w:r>
      <w:r>
        <w:instrText xml:space="preserve"> PAGEREF _Toc21102 </w:instrText>
      </w:r>
      <w:r>
        <w:fldChar w:fldCharType="separate"/>
      </w:r>
      <w:r>
        <w:t>16</w:t>
      </w:r>
      <w:r>
        <w:fldChar w:fldCharType="end"/>
      </w:r>
      <w:r>
        <w:fldChar w:fldCharType="end"/>
      </w:r>
    </w:p>
    <w:p>
      <w:pPr>
        <w:pStyle w:val="10"/>
        <w:tabs>
          <w:tab w:val="right" w:leader="dot" w:pos="8528"/>
        </w:tabs>
        <w:ind w:left="840"/>
      </w:pPr>
      <w:r>
        <w:fldChar w:fldCharType="begin"/>
      </w:r>
      <w:r>
        <w:instrText xml:space="preserve"> HYPERLINK \l "_Toc22847" </w:instrText>
      </w:r>
      <w:r>
        <w:fldChar w:fldCharType="separate"/>
      </w:r>
      <w:r>
        <w:rPr>
          <w:rFonts w:hint="eastAsia"/>
          <w:szCs w:val="30"/>
        </w:rPr>
        <w:t>一、资格性审查表</w:t>
      </w:r>
      <w:r>
        <w:tab/>
      </w:r>
      <w:r>
        <w:fldChar w:fldCharType="begin"/>
      </w:r>
      <w:r>
        <w:instrText xml:space="preserve"> PAGEREF _Toc22847 </w:instrText>
      </w:r>
      <w:r>
        <w:fldChar w:fldCharType="separate"/>
      </w:r>
      <w:r>
        <w:t>16</w:t>
      </w:r>
      <w:r>
        <w:fldChar w:fldCharType="end"/>
      </w:r>
      <w:r>
        <w:fldChar w:fldCharType="end"/>
      </w:r>
    </w:p>
    <w:p>
      <w:pPr>
        <w:pStyle w:val="10"/>
        <w:tabs>
          <w:tab w:val="right" w:leader="dot" w:pos="8528"/>
        </w:tabs>
        <w:ind w:left="840"/>
      </w:pPr>
      <w:r>
        <w:fldChar w:fldCharType="begin"/>
      </w:r>
      <w:r>
        <w:instrText xml:space="preserve"> HYPERLINK \l "_Toc28756" </w:instrText>
      </w:r>
      <w:r>
        <w:fldChar w:fldCharType="separate"/>
      </w:r>
      <w:r>
        <w:rPr>
          <w:rFonts w:hint="eastAsia"/>
        </w:rPr>
        <w:t>二、符合性审查表</w:t>
      </w:r>
      <w:r>
        <w:tab/>
      </w:r>
      <w:r>
        <w:fldChar w:fldCharType="begin"/>
      </w:r>
      <w:r>
        <w:instrText xml:space="preserve"> PAGEREF _Toc28756 </w:instrText>
      </w:r>
      <w:r>
        <w:fldChar w:fldCharType="separate"/>
      </w:r>
      <w:r>
        <w:t>18</w:t>
      </w:r>
      <w:r>
        <w:fldChar w:fldCharType="end"/>
      </w:r>
      <w:r>
        <w:fldChar w:fldCharType="end"/>
      </w:r>
    </w:p>
    <w:p>
      <w:pPr>
        <w:pStyle w:val="20"/>
        <w:tabs>
          <w:tab w:val="right" w:leader="dot" w:pos="8528"/>
        </w:tabs>
        <w:ind w:left="420"/>
      </w:pPr>
      <w:r>
        <w:fldChar w:fldCharType="begin"/>
      </w:r>
      <w:r>
        <w:instrText xml:space="preserve"> HYPERLINK \l "_Toc22572" </w:instrText>
      </w:r>
      <w:r>
        <w:fldChar w:fldCharType="separate"/>
      </w:r>
      <w:r>
        <w:rPr>
          <w:rFonts w:hint="eastAsia" w:ascii="黑体"/>
        </w:rPr>
        <w:t>第五章</w:t>
      </w:r>
      <w:r>
        <w:rPr>
          <w:rFonts w:hint="eastAsia"/>
        </w:rPr>
        <w:t xml:space="preserve"> </w:t>
      </w:r>
      <w:r>
        <w:rPr>
          <w:rFonts w:hint="eastAsia" w:ascii="黑体"/>
        </w:rPr>
        <w:t>评分办法</w:t>
      </w:r>
      <w:r>
        <w:tab/>
      </w:r>
      <w:r>
        <w:fldChar w:fldCharType="begin"/>
      </w:r>
      <w:r>
        <w:instrText xml:space="preserve"> PAGEREF _Toc22572 </w:instrText>
      </w:r>
      <w:r>
        <w:fldChar w:fldCharType="separate"/>
      </w:r>
      <w:r>
        <w:t>19</w:t>
      </w:r>
      <w:r>
        <w:fldChar w:fldCharType="end"/>
      </w:r>
      <w:r>
        <w:fldChar w:fldCharType="end"/>
      </w:r>
    </w:p>
    <w:p>
      <w:pPr>
        <w:pStyle w:val="20"/>
        <w:tabs>
          <w:tab w:val="right" w:leader="dot" w:pos="8528"/>
        </w:tabs>
        <w:ind w:left="420"/>
      </w:pPr>
      <w:r>
        <w:fldChar w:fldCharType="begin"/>
      </w:r>
      <w:r>
        <w:instrText xml:space="preserve"> HYPERLINK \l "_Toc19021" </w:instrText>
      </w:r>
      <w:r>
        <w:fldChar w:fldCharType="separate"/>
      </w:r>
      <w:r>
        <w:rPr>
          <w:rFonts w:hint="eastAsia" w:ascii="黑体"/>
        </w:rPr>
        <w:t>第六章</w:t>
      </w:r>
      <w:r>
        <w:rPr>
          <w:rFonts w:hint="eastAsia"/>
        </w:rPr>
        <w:t xml:space="preserve"> </w:t>
      </w:r>
      <w:r>
        <w:rPr>
          <w:rFonts w:hint="eastAsia" w:ascii="黑体"/>
        </w:rPr>
        <w:t>供应商须知</w:t>
      </w:r>
      <w:r>
        <w:tab/>
      </w:r>
      <w:r>
        <w:fldChar w:fldCharType="begin"/>
      </w:r>
      <w:r>
        <w:instrText xml:space="preserve"> PAGEREF _Toc19021 </w:instrText>
      </w:r>
      <w:r>
        <w:fldChar w:fldCharType="separate"/>
      </w:r>
      <w:r>
        <w:t>19</w:t>
      </w:r>
      <w:r>
        <w:fldChar w:fldCharType="end"/>
      </w:r>
      <w:r>
        <w:fldChar w:fldCharType="end"/>
      </w:r>
    </w:p>
    <w:p>
      <w:pPr>
        <w:pStyle w:val="10"/>
        <w:tabs>
          <w:tab w:val="right" w:leader="dot" w:pos="8528"/>
        </w:tabs>
        <w:ind w:left="840"/>
      </w:pPr>
      <w:r>
        <w:fldChar w:fldCharType="begin"/>
      </w:r>
      <w:r>
        <w:instrText xml:space="preserve"> HYPERLINK \l "_Toc9247" </w:instrText>
      </w:r>
      <w:r>
        <w:fldChar w:fldCharType="separate"/>
      </w:r>
      <w:r>
        <w:rPr>
          <w:rFonts w:hint="eastAsia"/>
        </w:rPr>
        <w:t>一、总则</w:t>
      </w:r>
      <w:r>
        <w:tab/>
      </w:r>
      <w:r>
        <w:fldChar w:fldCharType="begin"/>
      </w:r>
      <w:r>
        <w:instrText xml:space="preserve"> PAGEREF _Toc9247 </w:instrText>
      </w:r>
      <w:r>
        <w:fldChar w:fldCharType="separate"/>
      </w:r>
      <w:r>
        <w:t>23</w:t>
      </w:r>
      <w:r>
        <w:fldChar w:fldCharType="end"/>
      </w:r>
      <w:r>
        <w:fldChar w:fldCharType="end"/>
      </w:r>
    </w:p>
    <w:p>
      <w:pPr>
        <w:pStyle w:val="10"/>
        <w:tabs>
          <w:tab w:val="right" w:leader="dot" w:pos="8528"/>
        </w:tabs>
        <w:ind w:left="840"/>
      </w:pPr>
      <w:r>
        <w:fldChar w:fldCharType="begin"/>
      </w:r>
      <w:r>
        <w:instrText xml:space="preserve"> HYPERLINK \l "_Toc15998" </w:instrText>
      </w:r>
      <w:r>
        <w:fldChar w:fldCharType="separate"/>
      </w:r>
      <w:r>
        <w:rPr>
          <w:rFonts w:hint="eastAsia"/>
        </w:rPr>
        <w:t>二、竞争性磋商文件</w:t>
      </w:r>
      <w:r>
        <w:tab/>
      </w:r>
      <w:r>
        <w:fldChar w:fldCharType="begin"/>
      </w:r>
      <w:r>
        <w:instrText xml:space="preserve"> PAGEREF _Toc15998 </w:instrText>
      </w:r>
      <w:r>
        <w:fldChar w:fldCharType="separate"/>
      </w:r>
      <w:r>
        <w:t>25</w:t>
      </w:r>
      <w:r>
        <w:fldChar w:fldCharType="end"/>
      </w:r>
      <w:r>
        <w:fldChar w:fldCharType="end"/>
      </w:r>
    </w:p>
    <w:p>
      <w:pPr>
        <w:pStyle w:val="10"/>
        <w:tabs>
          <w:tab w:val="right" w:leader="dot" w:pos="8528"/>
        </w:tabs>
        <w:ind w:left="840"/>
      </w:pPr>
      <w:r>
        <w:fldChar w:fldCharType="begin"/>
      </w:r>
      <w:r>
        <w:instrText xml:space="preserve"> HYPERLINK \l "_Toc3727" </w:instrText>
      </w:r>
      <w:r>
        <w:fldChar w:fldCharType="separate"/>
      </w:r>
      <w:r>
        <w:rPr>
          <w:rFonts w:hint="eastAsia"/>
        </w:rPr>
        <w:t>三、磋商响应文件的编制</w:t>
      </w:r>
      <w:r>
        <w:tab/>
      </w:r>
      <w:r>
        <w:fldChar w:fldCharType="begin"/>
      </w:r>
      <w:r>
        <w:instrText xml:space="preserve"> PAGEREF _Toc3727 </w:instrText>
      </w:r>
      <w:r>
        <w:fldChar w:fldCharType="separate"/>
      </w:r>
      <w:r>
        <w:t>27</w:t>
      </w:r>
      <w:r>
        <w:fldChar w:fldCharType="end"/>
      </w:r>
      <w:r>
        <w:fldChar w:fldCharType="end"/>
      </w:r>
    </w:p>
    <w:p>
      <w:pPr>
        <w:pStyle w:val="10"/>
        <w:tabs>
          <w:tab w:val="right" w:leader="dot" w:pos="8528"/>
        </w:tabs>
        <w:ind w:left="840"/>
      </w:pPr>
      <w:r>
        <w:fldChar w:fldCharType="begin"/>
      </w:r>
      <w:r>
        <w:instrText xml:space="preserve"> HYPERLINK \l "_Toc15553" </w:instrText>
      </w:r>
      <w:r>
        <w:fldChar w:fldCharType="separate"/>
      </w:r>
      <w:r>
        <w:rPr>
          <w:rFonts w:hint="eastAsia"/>
        </w:rPr>
        <w:t>四、磋商响应文件的提交</w:t>
      </w:r>
      <w:r>
        <w:tab/>
      </w:r>
      <w:r>
        <w:fldChar w:fldCharType="begin"/>
      </w:r>
      <w:r>
        <w:instrText xml:space="preserve"> PAGEREF _Toc15553 </w:instrText>
      </w:r>
      <w:r>
        <w:fldChar w:fldCharType="separate"/>
      </w:r>
      <w:r>
        <w:t>29</w:t>
      </w:r>
      <w:r>
        <w:fldChar w:fldCharType="end"/>
      </w:r>
      <w:r>
        <w:fldChar w:fldCharType="end"/>
      </w:r>
    </w:p>
    <w:p>
      <w:pPr>
        <w:pStyle w:val="10"/>
        <w:tabs>
          <w:tab w:val="right" w:leader="dot" w:pos="8528"/>
        </w:tabs>
        <w:ind w:left="840"/>
      </w:pPr>
      <w:r>
        <w:fldChar w:fldCharType="begin"/>
      </w:r>
      <w:r>
        <w:instrText xml:space="preserve"> HYPERLINK \l "_Toc9002" </w:instrText>
      </w:r>
      <w:r>
        <w:fldChar w:fldCharType="separate"/>
      </w:r>
      <w:r>
        <w:rPr>
          <w:rFonts w:hint="eastAsia"/>
        </w:rPr>
        <w:t>五、磋商与评审</w:t>
      </w:r>
      <w:r>
        <w:tab/>
      </w:r>
      <w:r>
        <w:fldChar w:fldCharType="begin"/>
      </w:r>
      <w:r>
        <w:instrText xml:space="preserve"> PAGEREF _Toc9002 </w:instrText>
      </w:r>
      <w:r>
        <w:fldChar w:fldCharType="separate"/>
      </w:r>
      <w:r>
        <w:t>30</w:t>
      </w:r>
      <w:r>
        <w:fldChar w:fldCharType="end"/>
      </w:r>
      <w:r>
        <w:fldChar w:fldCharType="end"/>
      </w:r>
    </w:p>
    <w:p>
      <w:pPr>
        <w:pStyle w:val="10"/>
        <w:tabs>
          <w:tab w:val="right" w:leader="dot" w:pos="8528"/>
        </w:tabs>
        <w:ind w:left="840"/>
      </w:pPr>
      <w:r>
        <w:fldChar w:fldCharType="begin"/>
      </w:r>
      <w:r>
        <w:instrText xml:space="preserve"> HYPERLINK \l "_Toc30817" </w:instrText>
      </w:r>
      <w:r>
        <w:fldChar w:fldCharType="separate"/>
      </w:r>
      <w:r>
        <w:rPr>
          <w:rFonts w:hint="eastAsia"/>
        </w:rPr>
        <w:t>六、定标和授予合同</w:t>
      </w:r>
      <w:r>
        <w:tab/>
      </w:r>
      <w:r>
        <w:fldChar w:fldCharType="begin"/>
      </w:r>
      <w:r>
        <w:instrText xml:space="preserve"> PAGEREF _Toc30817 </w:instrText>
      </w:r>
      <w:r>
        <w:fldChar w:fldCharType="separate"/>
      </w:r>
      <w:r>
        <w:t>32</w:t>
      </w:r>
      <w:r>
        <w:fldChar w:fldCharType="end"/>
      </w:r>
      <w:r>
        <w:fldChar w:fldCharType="end"/>
      </w:r>
    </w:p>
    <w:p>
      <w:pPr>
        <w:pStyle w:val="10"/>
        <w:tabs>
          <w:tab w:val="right" w:leader="dot" w:pos="8528"/>
        </w:tabs>
        <w:ind w:left="840"/>
      </w:pPr>
      <w:r>
        <w:fldChar w:fldCharType="begin"/>
      </w:r>
      <w:r>
        <w:instrText xml:space="preserve"> HYPERLINK \l "_Toc3356" </w:instrText>
      </w:r>
      <w:r>
        <w:fldChar w:fldCharType="separate"/>
      </w:r>
      <w:r>
        <w:rPr>
          <w:rFonts w:hint="eastAsia"/>
        </w:rPr>
        <w:t>七、质疑与投诉</w:t>
      </w:r>
      <w:r>
        <w:tab/>
      </w:r>
      <w:r>
        <w:fldChar w:fldCharType="begin"/>
      </w:r>
      <w:r>
        <w:instrText xml:space="preserve"> PAGEREF _Toc3356 </w:instrText>
      </w:r>
      <w:r>
        <w:fldChar w:fldCharType="separate"/>
      </w:r>
      <w:r>
        <w:t>33</w:t>
      </w:r>
      <w:r>
        <w:fldChar w:fldCharType="end"/>
      </w:r>
      <w:r>
        <w:fldChar w:fldCharType="end"/>
      </w:r>
    </w:p>
    <w:p>
      <w:pPr>
        <w:pStyle w:val="20"/>
        <w:tabs>
          <w:tab w:val="right" w:leader="dot" w:pos="8528"/>
        </w:tabs>
        <w:ind w:left="420"/>
      </w:pPr>
      <w:r>
        <w:fldChar w:fldCharType="begin"/>
      </w:r>
      <w:r>
        <w:instrText xml:space="preserve"> HYPERLINK \l "_Toc22440" </w:instrText>
      </w:r>
      <w:r>
        <w:fldChar w:fldCharType="separate"/>
      </w:r>
      <w:r>
        <w:rPr>
          <w:rFonts w:hint="eastAsia" w:ascii="Arial" w:hAnsi="Arial" w:cs="Arial"/>
          <w:szCs w:val="32"/>
        </w:rPr>
        <w:t xml:space="preserve">第七章 </w:t>
      </w:r>
      <w:r>
        <w:rPr>
          <w:rFonts w:hint="eastAsia"/>
          <w:szCs w:val="32"/>
        </w:rPr>
        <w:t>采购</w:t>
      </w:r>
      <w:r>
        <w:rPr>
          <w:szCs w:val="32"/>
        </w:rPr>
        <w:t>合同</w:t>
      </w:r>
      <w:r>
        <w:rPr>
          <w:rFonts w:hint="eastAsia"/>
          <w:szCs w:val="32"/>
        </w:rPr>
        <w:t>（服务类/工程类供参考）</w:t>
      </w:r>
      <w:r>
        <w:tab/>
      </w:r>
      <w:r>
        <w:fldChar w:fldCharType="begin"/>
      </w:r>
      <w:r>
        <w:instrText xml:space="preserve"> PAGEREF _Toc22440 </w:instrText>
      </w:r>
      <w:r>
        <w:fldChar w:fldCharType="separate"/>
      </w:r>
      <w:r>
        <w:t>35</w:t>
      </w:r>
      <w:r>
        <w:fldChar w:fldCharType="end"/>
      </w:r>
      <w:r>
        <w:fldChar w:fldCharType="end"/>
      </w:r>
    </w:p>
    <w:p>
      <w:pPr>
        <w:pStyle w:val="10"/>
        <w:tabs>
          <w:tab w:val="right" w:leader="dot" w:pos="8528"/>
        </w:tabs>
        <w:ind w:left="840"/>
      </w:pPr>
      <w:r>
        <w:fldChar w:fldCharType="begin"/>
      </w:r>
      <w:r>
        <w:instrText xml:space="preserve"> HYPERLINK \l "_Toc31190" </w:instrText>
      </w:r>
      <w:r>
        <w:fldChar w:fldCharType="separate"/>
      </w:r>
      <w:r>
        <w:rPr>
          <w:rFonts w:hint="eastAsia" w:ascii="黑体"/>
          <w:szCs w:val="28"/>
        </w:rPr>
        <w:t>一、合同条款前附表</w:t>
      </w:r>
      <w:r>
        <w:tab/>
      </w:r>
      <w:r>
        <w:fldChar w:fldCharType="begin"/>
      </w:r>
      <w:r>
        <w:instrText xml:space="preserve"> PAGEREF _Toc31190 </w:instrText>
      </w:r>
      <w:r>
        <w:fldChar w:fldCharType="separate"/>
      </w:r>
      <w:r>
        <w:t>35</w:t>
      </w:r>
      <w:r>
        <w:fldChar w:fldCharType="end"/>
      </w:r>
      <w:r>
        <w:fldChar w:fldCharType="end"/>
      </w:r>
    </w:p>
    <w:p>
      <w:pPr>
        <w:pStyle w:val="10"/>
        <w:tabs>
          <w:tab w:val="right" w:leader="dot" w:pos="8528"/>
        </w:tabs>
        <w:ind w:left="840"/>
      </w:pPr>
      <w:r>
        <w:fldChar w:fldCharType="begin"/>
      </w:r>
      <w:r>
        <w:instrText xml:space="preserve"> HYPERLINK \l "_Toc14952" </w:instrText>
      </w:r>
      <w:r>
        <w:fldChar w:fldCharType="separate"/>
      </w:r>
      <w:r>
        <w:rPr>
          <w:rFonts w:hint="eastAsia"/>
        </w:rPr>
        <w:t>二、合同条款</w:t>
      </w:r>
      <w:r>
        <w:tab/>
      </w:r>
      <w:r>
        <w:fldChar w:fldCharType="begin"/>
      </w:r>
      <w:r>
        <w:instrText xml:space="preserve"> PAGEREF _Toc14952 </w:instrText>
      </w:r>
      <w:r>
        <w:fldChar w:fldCharType="separate"/>
      </w:r>
      <w:r>
        <w:t>35</w:t>
      </w:r>
      <w:r>
        <w:fldChar w:fldCharType="end"/>
      </w:r>
      <w:r>
        <w:fldChar w:fldCharType="end"/>
      </w:r>
    </w:p>
    <w:p>
      <w:pPr>
        <w:pStyle w:val="10"/>
        <w:tabs>
          <w:tab w:val="right" w:leader="dot" w:pos="8528"/>
        </w:tabs>
        <w:ind w:left="840"/>
      </w:pPr>
      <w:r>
        <w:fldChar w:fldCharType="begin"/>
      </w:r>
      <w:r>
        <w:instrText xml:space="preserve"> HYPERLINK \l "_Toc84" </w:instrText>
      </w:r>
      <w:r>
        <w:fldChar w:fldCharType="separate"/>
      </w:r>
      <w:r>
        <w:rPr>
          <w:rFonts w:hint="eastAsia"/>
        </w:rPr>
        <w:t>三、合同格式</w:t>
      </w:r>
      <w:r>
        <w:tab/>
      </w:r>
      <w:r>
        <w:fldChar w:fldCharType="begin"/>
      </w:r>
      <w:r>
        <w:instrText xml:space="preserve"> PAGEREF _Toc84 </w:instrText>
      </w:r>
      <w:r>
        <w:fldChar w:fldCharType="separate"/>
      </w:r>
      <w:r>
        <w:t>40</w:t>
      </w:r>
      <w:r>
        <w:fldChar w:fldCharType="end"/>
      </w:r>
      <w:r>
        <w:fldChar w:fldCharType="end"/>
      </w:r>
    </w:p>
    <w:p>
      <w:pPr>
        <w:pStyle w:val="10"/>
        <w:tabs>
          <w:tab w:val="right" w:leader="dot" w:pos="8528"/>
        </w:tabs>
        <w:ind w:left="840"/>
      </w:pPr>
      <w:r>
        <w:fldChar w:fldCharType="begin"/>
      </w:r>
      <w:r>
        <w:instrText xml:space="preserve"> HYPERLINK \l "_Toc24798" </w:instrText>
      </w:r>
      <w:r>
        <w:fldChar w:fldCharType="separate"/>
      </w:r>
      <w:r>
        <w:rPr>
          <w:rFonts w:hint="eastAsia"/>
        </w:rPr>
        <w:t>四、合同特殊条款</w:t>
      </w:r>
      <w:r>
        <w:tab/>
      </w:r>
      <w:r>
        <w:fldChar w:fldCharType="begin"/>
      </w:r>
      <w:r>
        <w:instrText xml:space="preserve"> PAGEREF _Toc24798 </w:instrText>
      </w:r>
      <w:r>
        <w:fldChar w:fldCharType="separate"/>
      </w:r>
      <w:r>
        <w:t>42</w:t>
      </w:r>
      <w:r>
        <w:fldChar w:fldCharType="end"/>
      </w:r>
      <w:r>
        <w:fldChar w:fldCharType="end"/>
      </w:r>
    </w:p>
    <w:p>
      <w:pPr>
        <w:pStyle w:val="20"/>
        <w:tabs>
          <w:tab w:val="right" w:leader="dot" w:pos="8528"/>
        </w:tabs>
        <w:ind w:left="420"/>
      </w:pPr>
      <w:r>
        <w:fldChar w:fldCharType="begin"/>
      </w:r>
      <w:r>
        <w:instrText xml:space="preserve"> HYPERLINK \l "_Toc3269" </w:instrText>
      </w:r>
      <w:r>
        <w:fldChar w:fldCharType="separate"/>
      </w:r>
      <w:r>
        <w:rPr>
          <w:rFonts w:hint="eastAsia" w:ascii="黑体"/>
        </w:rPr>
        <w:t>第八章</w:t>
      </w:r>
      <w:r>
        <w:rPr>
          <w:rFonts w:hint="eastAsia"/>
        </w:rPr>
        <w:t xml:space="preserve"> </w:t>
      </w:r>
      <w:r>
        <w:rPr>
          <w:rFonts w:hint="eastAsia" w:ascii="黑体"/>
        </w:rPr>
        <w:t>磋商响应文件</w:t>
      </w:r>
      <w:r>
        <w:tab/>
      </w:r>
      <w:r>
        <w:fldChar w:fldCharType="begin"/>
      </w:r>
      <w:r>
        <w:instrText xml:space="preserve"> PAGEREF _Toc3269 </w:instrText>
      </w:r>
      <w:r>
        <w:fldChar w:fldCharType="separate"/>
      </w:r>
      <w:r>
        <w:t>43</w:t>
      </w:r>
      <w:r>
        <w:fldChar w:fldCharType="end"/>
      </w:r>
      <w:r>
        <w:fldChar w:fldCharType="end"/>
      </w:r>
    </w:p>
    <w:p>
      <w:pPr>
        <w:pStyle w:val="10"/>
        <w:tabs>
          <w:tab w:val="right" w:leader="dot" w:pos="8528"/>
        </w:tabs>
        <w:ind w:left="840"/>
      </w:pPr>
      <w:r>
        <w:fldChar w:fldCharType="begin"/>
      </w:r>
      <w:r>
        <w:instrText xml:space="preserve"> HYPERLINK \l "_Toc13104" </w:instrText>
      </w:r>
      <w:r>
        <w:fldChar w:fldCharType="separate"/>
      </w:r>
      <w:r>
        <w:rPr>
          <w:rFonts w:hint="eastAsia"/>
        </w:rPr>
        <w:t>一、磋商响应函</w:t>
      </w:r>
      <w:r>
        <w:tab/>
      </w:r>
      <w:r>
        <w:fldChar w:fldCharType="begin"/>
      </w:r>
      <w:r>
        <w:instrText xml:space="preserve"> PAGEREF _Toc13104 </w:instrText>
      </w:r>
      <w:r>
        <w:fldChar w:fldCharType="separate"/>
      </w:r>
      <w:r>
        <w:t>44</w:t>
      </w:r>
      <w:r>
        <w:fldChar w:fldCharType="end"/>
      </w:r>
      <w:r>
        <w:fldChar w:fldCharType="end"/>
      </w:r>
    </w:p>
    <w:p>
      <w:pPr>
        <w:pStyle w:val="10"/>
        <w:tabs>
          <w:tab w:val="right" w:leader="dot" w:pos="8528"/>
        </w:tabs>
        <w:ind w:left="840"/>
      </w:pPr>
      <w:r>
        <w:fldChar w:fldCharType="begin"/>
      </w:r>
      <w:r>
        <w:instrText xml:space="preserve"> HYPERLINK \l "_Toc4648" </w:instrText>
      </w:r>
      <w:r>
        <w:fldChar w:fldCharType="separate"/>
      </w:r>
      <w:r>
        <w:rPr>
          <w:rFonts w:hint="eastAsia"/>
        </w:rPr>
        <w:t>二、项目要求响应情况表（服务类、工程类项目适用）</w:t>
      </w:r>
      <w:r>
        <w:tab/>
      </w:r>
      <w:r>
        <w:fldChar w:fldCharType="begin"/>
      </w:r>
      <w:r>
        <w:instrText xml:space="preserve"> PAGEREF _Toc4648 </w:instrText>
      </w:r>
      <w:r>
        <w:fldChar w:fldCharType="separate"/>
      </w:r>
      <w:r>
        <w:t>45</w:t>
      </w:r>
      <w:r>
        <w:fldChar w:fldCharType="end"/>
      </w:r>
      <w:r>
        <w:fldChar w:fldCharType="end"/>
      </w:r>
    </w:p>
    <w:p>
      <w:pPr>
        <w:pStyle w:val="10"/>
        <w:tabs>
          <w:tab w:val="right" w:leader="dot" w:pos="8528"/>
        </w:tabs>
        <w:ind w:left="840"/>
      </w:pPr>
      <w:r>
        <w:fldChar w:fldCharType="begin"/>
      </w:r>
      <w:r>
        <w:instrText xml:space="preserve"> HYPERLINK \l "_Toc23789" </w:instrText>
      </w:r>
      <w:r>
        <w:fldChar w:fldCharType="separate"/>
      </w:r>
      <w:r>
        <w:rPr>
          <w:rFonts w:hint="eastAsia"/>
        </w:rPr>
        <w:t>三、商务要求响应情况表（通用）</w:t>
      </w:r>
      <w:r>
        <w:tab/>
      </w:r>
      <w:r>
        <w:fldChar w:fldCharType="begin"/>
      </w:r>
      <w:r>
        <w:instrText xml:space="preserve"> PAGEREF _Toc23789 </w:instrText>
      </w:r>
      <w:r>
        <w:fldChar w:fldCharType="separate"/>
      </w:r>
      <w:r>
        <w:t>46</w:t>
      </w:r>
      <w:r>
        <w:fldChar w:fldCharType="end"/>
      </w:r>
      <w:r>
        <w:fldChar w:fldCharType="end"/>
      </w:r>
    </w:p>
    <w:p>
      <w:pPr>
        <w:pStyle w:val="10"/>
        <w:tabs>
          <w:tab w:val="right" w:leader="dot" w:pos="8528"/>
        </w:tabs>
        <w:ind w:left="840"/>
      </w:pPr>
      <w:r>
        <w:fldChar w:fldCharType="begin"/>
      </w:r>
      <w:r>
        <w:instrText xml:space="preserve"> HYPERLINK \l "_Toc14379" </w:instrText>
      </w:r>
      <w:r>
        <w:fldChar w:fldCharType="separate"/>
      </w:r>
      <w:r>
        <w:rPr>
          <w:rFonts w:hint="eastAsia"/>
        </w:rPr>
        <w:t>四、本项目实施方案</w:t>
      </w:r>
      <w:r>
        <w:tab/>
      </w:r>
      <w:r>
        <w:fldChar w:fldCharType="begin"/>
      </w:r>
      <w:r>
        <w:instrText xml:space="preserve"> PAGEREF _Toc14379 </w:instrText>
      </w:r>
      <w:r>
        <w:fldChar w:fldCharType="separate"/>
      </w:r>
      <w:r>
        <w:t>47</w:t>
      </w:r>
      <w:r>
        <w:fldChar w:fldCharType="end"/>
      </w:r>
      <w:r>
        <w:fldChar w:fldCharType="end"/>
      </w:r>
    </w:p>
    <w:p>
      <w:pPr>
        <w:pStyle w:val="10"/>
        <w:tabs>
          <w:tab w:val="right" w:leader="dot" w:pos="8528"/>
        </w:tabs>
        <w:ind w:left="840"/>
      </w:pPr>
      <w:r>
        <w:fldChar w:fldCharType="begin"/>
      </w:r>
      <w:r>
        <w:instrText xml:space="preserve"> HYPERLINK \l "_Toc31502" </w:instrText>
      </w:r>
      <w:r>
        <w:fldChar w:fldCharType="separate"/>
      </w:r>
      <w:r>
        <w:rPr>
          <w:rFonts w:hint="eastAsia"/>
        </w:rPr>
        <w:t>五、资格证明文件及其他重要资料</w:t>
      </w:r>
      <w:r>
        <w:tab/>
      </w:r>
      <w:r>
        <w:fldChar w:fldCharType="begin"/>
      </w:r>
      <w:r>
        <w:instrText xml:space="preserve"> PAGEREF _Toc31502 </w:instrText>
      </w:r>
      <w:r>
        <w:fldChar w:fldCharType="separate"/>
      </w:r>
      <w:r>
        <w:t>47</w:t>
      </w:r>
      <w:r>
        <w:fldChar w:fldCharType="end"/>
      </w:r>
      <w:r>
        <w:fldChar w:fldCharType="end"/>
      </w:r>
    </w:p>
    <w:p>
      <w:pPr>
        <w:pStyle w:val="10"/>
        <w:tabs>
          <w:tab w:val="right" w:leader="dot" w:pos="8528"/>
        </w:tabs>
        <w:ind w:left="840"/>
        <w:rPr>
          <w:lang w:val="zh-CN"/>
        </w:rPr>
      </w:pPr>
      <w:r>
        <w:rPr>
          <w:lang w:val="zh-CN"/>
        </w:rPr>
        <w:fldChar w:fldCharType="end"/>
      </w:r>
    </w:p>
    <w:p>
      <w:pPr>
        <w:rPr>
          <w:lang w:val="zh-CN"/>
        </w:rPr>
      </w:pPr>
    </w:p>
    <w:p>
      <w:pPr>
        <w:pStyle w:val="2"/>
        <w:ind w:firstLine="560"/>
        <w:rPr>
          <w:lang w:val="zh-CN"/>
        </w:rPr>
      </w:pPr>
    </w:p>
    <w:p>
      <w:pPr>
        <w:pStyle w:val="2"/>
        <w:ind w:firstLine="560"/>
        <w:rPr>
          <w:lang w:val="zh-CN"/>
        </w:rPr>
      </w:pPr>
    </w:p>
    <w:p>
      <w:pPr>
        <w:pStyle w:val="2"/>
        <w:ind w:firstLine="560"/>
        <w:rPr>
          <w:lang w:val="zh-CN"/>
        </w:rPr>
      </w:pPr>
    </w:p>
    <w:p>
      <w:pPr>
        <w:pStyle w:val="2"/>
        <w:ind w:firstLine="560"/>
        <w:rPr>
          <w:lang w:val="zh-CN"/>
        </w:rPr>
      </w:pPr>
    </w:p>
    <w:p>
      <w:pPr>
        <w:pStyle w:val="2"/>
        <w:ind w:firstLine="560"/>
        <w:rPr>
          <w:lang w:val="zh-CN"/>
        </w:rPr>
      </w:pPr>
    </w:p>
    <w:p>
      <w:pPr>
        <w:pStyle w:val="2"/>
        <w:ind w:firstLine="560"/>
        <w:rPr>
          <w:lang w:val="zh-CN"/>
        </w:rPr>
      </w:pPr>
    </w:p>
    <w:p>
      <w:pPr>
        <w:pStyle w:val="2"/>
        <w:ind w:firstLine="560"/>
        <w:rPr>
          <w:lang w:val="zh-CN"/>
        </w:rPr>
      </w:pPr>
    </w:p>
    <w:p>
      <w:pPr>
        <w:pStyle w:val="2"/>
        <w:ind w:firstLine="560"/>
        <w:rPr>
          <w:lang w:val="zh-CN"/>
        </w:rPr>
      </w:pPr>
    </w:p>
    <w:p>
      <w:pPr>
        <w:pStyle w:val="2"/>
        <w:ind w:firstLine="560"/>
        <w:rPr>
          <w:lang w:val="zh-CN"/>
        </w:rPr>
      </w:pPr>
    </w:p>
    <w:p>
      <w:pPr>
        <w:pStyle w:val="2"/>
        <w:ind w:firstLine="560"/>
        <w:rPr>
          <w:lang w:val="zh-CN"/>
        </w:rPr>
      </w:pPr>
    </w:p>
    <w:p>
      <w:pPr>
        <w:rPr>
          <w:lang w:val="zh-CN"/>
        </w:rPr>
      </w:pPr>
    </w:p>
    <w:p>
      <w:pPr>
        <w:rPr>
          <w:lang w:val="zh-CN"/>
        </w:rPr>
      </w:pPr>
    </w:p>
    <w:p>
      <w:pPr>
        <w:pStyle w:val="59"/>
        <w:rPr>
          <w:rFonts w:eastAsia="宋体"/>
          <w:color w:val="auto"/>
        </w:rPr>
      </w:pPr>
      <w:bookmarkStart w:id="2" w:name="_Toc22919"/>
      <w:r>
        <w:rPr>
          <w:rFonts w:hint="eastAsia" w:eastAsia="宋体"/>
          <w:color w:val="auto"/>
        </w:rPr>
        <w:t>第一章 竞争性磋商公告</w:t>
      </w:r>
      <w:bookmarkEnd w:id="1"/>
      <w:bookmarkEnd w:id="2"/>
    </w:p>
    <w:p>
      <w:pPr>
        <w:spacing w:line="520" w:lineRule="exact"/>
        <w:jc w:val="center"/>
        <w:rPr>
          <w:rFonts w:ascii="宋体" w:hAnsi="宋体" w:cs="宋体"/>
          <w:b/>
          <w:bCs/>
        </w:rPr>
      </w:pPr>
      <w:r>
        <w:rPr>
          <w:rFonts w:hint="eastAsia" w:ascii="宋体" w:hAnsi="宋体" w:cs="宋体"/>
          <w:b/>
          <w:bCs/>
        </w:rPr>
        <w:t xml:space="preserve">     </w:t>
      </w:r>
      <w:r>
        <w:rPr>
          <w:rFonts w:hint="eastAsia" w:ascii="宋体" w:hAnsi="宋体" w:cs="宋体"/>
          <w:b/>
          <w:bCs/>
          <w:u w:val="single"/>
        </w:rPr>
        <w:t>宿州交通文化旅游投资集团有限公司转型战略规划和内部管控提升方案</w:t>
      </w:r>
      <w:r>
        <w:rPr>
          <w:rFonts w:hint="eastAsia" w:ascii="宋体" w:hAnsi="宋体" w:cs="宋体"/>
          <w:b/>
          <w:bCs/>
        </w:rPr>
        <w:t>采购项目竞争性磋商公告</w:t>
      </w:r>
    </w:p>
    <w:p>
      <w:pPr>
        <w:spacing w:line="360" w:lineRule="auto"/>
        <w:rPr>
          <w:rFonts w:ascii="宋体" w:hAnsi="宋体" w:cs="宋体"/>
        </w:rPr>
      </w:pPr>
      <w:r>
        <w:rPr>
          <w:rFonts w:hint="eastAsia" w:ascii="宋体" w:hAnsi="宋体" w:cs="宋体"/>
        </w:rPr>
        <w:t xml:space="preserve">    </w:t>
      </w:r>
      <w:r>
        <w:rPr>
          <w:rFonts w:hint="eastAsia" w:ascii="宋体" w:hAnsi="宋体" w:cs="宋体"/>
          <w:u w:val="single"/>
        </w:rPr>
        <w:t xml:space="preserve">  宿州骏达工程管理咨询有限公司 </w:t>
      </w:r>
      <w:r>
        <w:rPr>
          <w:rFonts w:hint="eastAsia" w:ascii="宋体" w:hAnsi="宋体" w:cs="宋体"/>
        </w:rPr>
        <w:t>受</w:t>
      </w:r>
      <w:r>
        <w:rPr>
          <w:rFonts w:hint="eastAsia" w:ascii="宋体" w:hAnsi="宋体" w:cs="宋体"/>
          <w:u w:val="single"/>
        </w:rPr>
        <w:t xml:space="preserve"> 宿州交通文化旅游投资集团有限公司</w:t>
      </w:r>
      <w:r>
        <w:rPr>
          <w:rFonts w:hint="eastAsia" w:ascii="宋体" w:hAnsi="宋体" w:cs="宋体"/>
        </w:rPr>
        <w:t>的委托，现对</w:t>
      </w:r>
      <w:r>
        <w:rPr>
          <w:rFonts w:hint="eastAsia" w:ascii="宋体" w:hAnsi="宋体" w:cs="宋体"/>
          <w:b/>
          <w:u w:val="single"/>
        </w:rPr>
        <w:t>宿州交通文化旅游投资集团有限公司转型战略规划和内部管控提升方案采购</w:t>
      </w:r>
      <w:r>
        <w:rPr>
          <w:rFonts w:hint="eastAsia" w:ascii="宋体" w:hAnsi="宋体" w:cs="宋体"/>
        </w:rPr>
        <w:t>项目进行竞争性磋商，欢迎具备条件的国内供应商参加磋商。</w:t>
      </w:r>
    </w:p>
    <w:p>
      <w:pPr>
        <w:pStyle w:val="58"/>
        <w:ind w:firstLine="620" w:firstLineChars="294"/>
        <w:jc w:val="left"/>
        <w:rPr>
          <w:rFonts w:cs="宋体"/>
          <w:color w:val="auto"/>
        </w:rPr>
      </w:pPr>
      <w:bookmarkStart w:id="3" w:name="_Toc511899287"/>
      <w:bookmarkEnd w:id="3"/>
      <w:bookmarkStart w:id="4" w:name="_Toc31615"/>
      <w:r>
        <w:rPr>
          <w:rFonts w:hint="eastAsia" w:cs="宋体"/>
          <w:color w:val="auto"/>
        </w:rPr>
        <w:t>一、项目名称及内容</w:t>
      </w:r>
      <w:bookmarkEnd w:id="4"/>
      <w:r>
        <w:rPr>
          <w:rFonts w:hint="eastAsia"/>
        </w:rPr>
        <w:t xml:space="preserve">            </w:t>
      </w:r>
    </w:p>
    <w:p>
      <w:pPr>
        <w:spacing w:line="360" w:lineRule="auto"/>
        <w:ind w:firstLine="617" w:firstLineChars="294"/>
      </w:pPr>
      <w:r>
        <w:rPr>
          <w:rFonts w:hint="eastAsia"/>
        </w:rPr>
        <w:t xml:space="preserve">1、项目名称：宿州交通文化旅游投资集团有限公司转型战略规划和内部管控提升方案采购 </w:t>
      </w:r>
    </w:p>
    <w:p>
      <w:pPr>
        <w:spacing w:line="360" w:lineRule="auto"/>
        <w:ind w:firstLine="617" w:firstLineChars="294"/>
      </w:pPr>
      <w:r>
        <w:rPr>
          <w:rFonts w:hint="eastAsia"/>
        </w:rPr>
        <w:t xml:space="preserve">2、采购人：宿州交通文化旅游投资集团有限公司 </w:t>
      </w:r>
    </w:p>
    <w:p>
      <w:pPr>
        <w:spacing w:line="360" w:lineRule="auto"/>
        <w:ind w:firstLine="617" w:firstLineChars="294"/>
      </w:pPr>
      <w:r>
        <w:rPr>
          <w:rFonts w:hint="eastAsia"/>
        </w:rPr>
        <w:t xml:space="preserve">3、资金来源：自筹资金 </w:t>
      </w:r>
    </w:p>
    <w:p>
      <w:pPr>
        <w:spacing w:line="360" w:lineRule="auto"/>
        <w:ind w:firstLine="617" w:firstLineChars="294"/>
      </w:pPr>
      <w:r>
        <w:rPr>
          <w:rFonts w:hint="eastAsia"/>
        </w:rPr>
        <w:t>4、项目预算：850000元</w:t>
      </w:r>
    </w:p>
    <w:p>
      <w:pPr>
        <w:spacing w:line="360" w:lineRule="auto"/>
        <w:ind w:firstLine="617" w:firstLineChars="294"/>
      </w:pPr>
      <w:r>
        <w:rPr>
          <w:rFonts w:hint="eastAsia"/>
        </w:rPr>
        <w:t xml:space="preserve">5、标段（包别）划分： 不分标段 </w:t>
      </w:r>
    </w:p>
    <w:p>
      <w:pPr>
        <w:spacing w:line="360" w:lineRule="auto"/>
        <w:ind w:firstLine="617" w:firstLineChars="294"/>
      </w:pPr>
      <w:r>
        <w:rPr>
          <w:rFonts w:hint="eastAsia"/>
        </w:rPr>
        <w:t xml:space="preserve">6、项目基本概况介绍: </w:t>
      </w:r>
      <w:r>
        <w:rPr>
          <w:rFonts w:hint="eastAsia" w:ascii="宋体" w:hAnsi="宋体"/>
          <w:szCs w:val="20"/>
        </w:rPr>
        <w:t>编制宿州交通文化旅游投资集团有限公司转型战略规划和内部管控提升方案，具体详见货物服务需求及附件等。</w:t>
      </w:r>
    </w:p>
    <w:p>
      <w:pPr>
        <w:pStyle w:val="58"/>
        <w:ind w:firstLine="517" w:firstLineChars="245"/>
        <w:jc w:val="left"/>
        <w:rPr>
          <w:rFonts w:cs="宋体"/>
          <w:color w:val="auto"/>
        </w:rPr>
      </w:pPr>
      <w:bookmarkStart w:id="5" w:name="_Toc511899288"/>
      <w:bookmarkEnd w:id="5"/>
      <w:bookmarkStart w:id="6" w:name="_Toc12905"/>
      <w:r>
        <w:rPr>
          <w:rFonts w:hint="eastAsia" w:cs="宋体"/>
          <w:color w:val="auto"/>
        </w:rPr>
        <w:t>二、供应商资格</w:t>
      </w:r>
      <w:bookmarkEnd w:id="6"/>
      <w:r>
        <w:rPr>
          <w:rFonts w:hint="eastAsia" w:cs="宋体"/>
          <w:color w:val="auto"/>
        </w:rPr>
        <w:t xml:space="preserve">  </w:t>
      </w:r>
    </w:p>
    <w:p>
      <w:pPr>
        <w:spacing w:line="360" w:lineRule="auto"/>
        <w:ind w:firstLine="620" w:firstLineChars="294"/>
        <w:rPr>
          <w:rFonts w:ascii="宋体" w:hAnsi="宋体" w:cs="宋体"/>
          <w:b/>
          <w:bCs/>
        </w:rPr>
      </w:pPr>
      <w:r>
        <w:rPr>
          <w:rFonts w:hint="eastAsia" w:ascii="宋体" w:hAnsi="宋体" w:cs="宋体"/>
          <w:b/>
          <w:bCs/>
        </w:rPr>
        <w:t>1、符合《中华人民共和国政府采购法》第二十二条规定；</w:t>
      </w:r>
    </w:p>
    <w:p>
      <w:pPr>
        <w:spacing w:line="360" w:lineRule="auto"/>
        <w:ind w:firstLine="620" w:firstLineChars="294"/>
        <w:rPr>
          <w:rFonts w:ascii="宋体" w:hAnsi="宋体" w:cs="宋体"/>
          <w:b/>
          <w:bCs/>
        </w:rPr>
      </w:pPr>
      <w:r>
        <w:rPr>
          <w:rFonts w:hint="eastAsia" w:ascii="宋体" w:hAnsi="宋体" w:cs="宋体"/>
          <w:b/>
          <w:bCs/>
        </w:rPr>
        <w:t>2、本项目不接受联合体磋商；</w:t>
      </w:r>
    </w:p>
    <w:p>
      <w:pPr>
        <w:spacing w:line="360" w:lineRule="auto"/>
        <w:ind w:firstLine="620" w:firstLineChars="294"/>
        <w:rPr>
          <w:rFonts w:ascii="宋体" w:hAnsi="宋体" w:cs="宋体"/>
          <w:b/>
          <w:bCs/>
        </w:rPr>
      </w:pPr>
      <w:r>
        <w:rPr>
          <w:rFonts w:hint="eastAsia" w:ascii="宋体" w:hAnsi="宋体" w:cs="宋体"/>
          <w:b/>
          <w:bCs/>
        </w:rPr>
        <w:t>3、供应商（含不具有独立法人资格的分公司、不含具备独立法人资格的子公司）存在以下不良信用记录情形之一的，不得推荐为成交候选供应商，不得确定为成交供应商：</w:t>
      </w:r>
    </w:p>
    <w:p>
      <w:pPr>
        <w:spacing w:line="360" w:lineRule="auto"/>
        <w:ind w:firstLine="617" w:firstLineChars="294"/>
      </w:pPr>
      <w:r>
        <w:rPr>
          <w:rFonts w:hint="eastAsia"/>
        </w:rPr>
        <w:t>（1）供应商被人民法院列入失信被执行人的；</w:t>
      </w:r>
    </w:p>
    <w:p>
      <w:pPr>
        <w:spacing w:line="360" w:lineRule="auto"/>
        <w:ind w:firstLine="617" w:firstLineChars="294"/>
      </w:pPr>
      <w:r>
        <w:rPr>
          <w:rFonts w:hint="eastAsia"/>
        </w:rPr>
        <w:t>（2）供应商或其法定代表人或拟派项目经理（项目负责人）被列入行贿犯罪档案的；</w:t>
      </w:r>
    </w:p>
    <w:p>
      <w:pPr>
        <w:spacing w:line="360" w:lineRule="auto"/>
        <w:ind w:firstLine="617" w:firstLineChars="294"/>
      </w:pPr>
      <w:r>
        <w:rPr>
          <w:rFonts w:hint="eastAsia"/>
        </w:rPr>
        <w:t>（3）供应商被工商行政管理部门列入企业经营异常名录的；</w:t>
      </w:r>
    </w:p>
    <w:p>
      <w:pPr>
        <w:spacing w:line="360" w:lineRule="auto"/>
        <w:ind w:firstLine="617" w:firstLineChars="294"/>
      </w:pPr>
      <w:r>
        <w:rPr>
          <w:rFonts w:hint="eastAsia"/>
        </w:rPr>
        <w:t>（4）供应商被税务部门列入重大税收违法案件当事人名单的；</w:t>
      </w:r>
    </w:p>
    <w:p>
      <w:pPr>
        <w:spacing w:line="360" w:lineRule="auto"/>
        <w:ind w:firstLine="420" w:firstLineChars="200"/>
        <w:rPr>
          <w:rFonts w:ascii="宋体" w:hAnsi="宋体" w:cs="宋体"/>
        </w:rPr>
      </w:pPr>
      <w:r>
        <w:rPr>
          <w:rFonts w:hint="eastAsia" w:ascii="宋体" w:hAnsi="宋体" w:cs="宋体"/>
        </w:rPr>
        <w:t>以上情形第（1）（3）（4）以“信用中国”（http://www.creditchina.gov.cn）或其他指定媒介[国家税务总局网站（www.chinatax.gov.cn）、中国政府采购网（www.ccgp.gov.cn）、最高人民法院网站</w:t>
      </w:r>
      <w:r>
        <w:rPr>
          <w:rFonts w:hint="eastAsia" w:ascii="宋体" w:hAnsi="宋体" w:cs="宋体"/>
          <w:sz w:val="18"/>
          <w:szCs w:val="18"/>
        </w:rPr>
        <w:t>（www.court.gov.cn）</w:t>
      </w:r>
      <w:r>
        <w:rPr>
          <w:rFonts w:hint="eastAsia" w:ascii="宋体" w:hAnsi="宋体" w:cs="宋体"/>
        </w:rPr>
        <w:t>、国家企业信用信息公示系统网站（www.gsxt.gov.cn）]发布的为准，查询截止时点为磋商截止时间。</w:t>
      </w:r>
    </w:p>
    <w:p>
      <w:pPr>
        <w:pStyle w:val="63"/>
        <w:spacing w:line="520" w:lineRule="exact"/>
        <w:ind w:firstLine="420"/>
      </w:pPr>
      <w:r>
        <w:rPr>
          <w:rFonts w:hint="eastAsia"/>
        </w:rPr>
        <w:t>情形（2）由供应商提供无行贿犯罪记录承诺函。</w:t>
      </w:r>
    </w:p>
    <w:p>
      <w:pPr>
        <w:numPr>
          <w:ilvl w:val="0"/>
          <w:numId w:val="1"/>
        </w:numPr>
        <w:spacing w:line="360" w:lineRule="auto"/>
        <w:rPr>
          <w:rFonts w:ascii="宋体" w:hAnsi="宋体" w:cs="宋体"/>
          <w:u w:val="single"/>
        </w:rPr>
      </w:pPr>
      <w:r>
        <w:rPr>
          <w:rFonts w:hint="eastAsia" w:ascii="宋体" w:hAnsi="宋体" w:cs="宋体"/>
        </w:rPr>
        <w:t>供应商的企业资质、资格：</w:t>
      </w:r>
      <w:r>
        <w:rPr>
          <w:rFonts w:ascii="宋体" w:hAnsi="宋体" w:cs="宋体"/>
          <w:u w:val="single"/>
        </w:rPr>
        <w:t xml:space="preserve"> </w:t>
      </w:r>
      <w:r>
        <w:rPr>
          <w:rFonts w:hint="eastAsia" w:ascii="宋体" w:hAnsi="宋体" w:cs="宋体"/>
          <w:u w:val="single"/>
        </w:rPr>
        <w:t xml:space="preserve">  /    </w:t>
      </w:r>
    </w:p>
    <w:p>
      <w:pPr>
        <w:numPr>
          <w:ilvl w:val="0"/>
          <w:numId w:val="1"/>
        </w:numPr>
        <w:spacing w:line="360" w:lineRule="auto"/>
        <w:rPr>
          <w:rFonts w:ascii="宋体" w:hAnsi="宋体" w:cs="宋体"/>
        </w:rPr>
      </w:pPr>
      <w:r>
        <w:rPr>
          <w:rFonts w:hint="eastAsia" w:ascii="宋体" w:hAnsi="宋体" w:cs="宋体"/>
        </w:rPr>
        <w:t>拟派项目负责人资格：</w:t>
      </w:r>
      <w:r>
        <w:rPr>
          <w:rFonts w:hint="eastAsia" w:ascii="宋体" w:hAnsi="宋体" w:cs="宋体"/>
          <w:u w:val="single"/>
        </w:rPr>
        <w:t xml:space="preserve">     /     </w:t>
      </w:r>
      <w:r>
        <w:rPr>
          <w:rFonts w:ascii="宋体" w:hAnsi="宋体" w:cs="宋体"/>
        </w:rPr>
        <w:t xml:space="preserve"> </w:t>
      </w:r>
    </w:p>
    <w:p>
      <w:pPr>
        <w:spacing w:line="360" w:lineRule="auto"/>
        <w:ind w:firstLine="525" w:firstLineChars="250"/>
        <w:rPr>
          <w:rFonts w:ascii="宋体" w:hAnsi="宋体"/>
        </w:rPr>
      </w:pPr>
      <w:r>
        <w:rPr>
          <w:rFonts w:hint="eastAsia" w:ascii="宋体" w:hAnsi="宋体" w:cs="宋体"/>
        </w:rPr>
        <w:t>6、</w:t>
      </w:r>
      <w:r>
        <w:rPr>
          <w:rFonts w:hint="eastAsia" w:ascii="宋体" w:hAnsi="宋体"/>
        </w:rPr>
        <w:t>本公告发布在宿州交通文化旅游投资集团有限公司网站。</w:t>
      </w:r>
    </w:p>
    <w:p>
      <w:pPr>
        <w:pStyle w:val="58"/>
        <w:ind w:firstLine="632" w:firstLineChars="300"/>
        <w:jc w:val="left"/>
        <w:rPr>
          <w:rStyle w:val="43"/>
          <w:rFonts w:ascii="宋体" w:hAnsi="宋体" w:cs="宋体"/>
          <w:b/>
          <w:bCs/>
          <w:color w:val="auto"/>
        </w:rPr>
      </w:pPr>
      <w:bookmarkStart w:id="7" w:name="_Toc511898260"/>
      <w:bookmarkEnd w:id="7"/>
      <w:bookmarkStart w:id="8" w:name="_Toc511828355"/>
      <w:bookmarkEnd w:id="8"/>
      <w:bookmarkStart w:id="9" w:name="_Toc511899289"/>
      <w:bookmarkStart w:id="10" w:name="_Toc10474"/>
      <w:r>
        <w:rPr>
          <w:rStyle w:val="43"/>
          <w:rFonts w:hint="eastAsia" w:ascii="宋体" w:hAnsi="宋体" w:cs="宋体"/>
          <w:b/>
          <w:bCs/>
          <w:color w:val="auto"/>
        </w:rPr>
        <w:t>三、</w:t>
      </w:r>
      <w:bookmarkEnd w:id="9"/>
      <w:r>
        <w:rPr>
          <w:rStyle w:val="43"/>
          <w:rFonts w:hint="eastAsia" w:ascii="宋体" w:hAnsi="宋体" w:cs="宋体"/>
          <w:b/>
          <w:bCs/>
          <w:color w:val="auto"/>
        </w:rPr>
        <w:t>磋商文件</w:t>
      </w:r>
      <w:r>
        <w:rPr>
          <w:rStyle w:val="43"/>
          <w:rFonts w:hint="eastAsia" w:cs="宋体"/>
          <w:b/>
          <w:bCs/>
          <w:color w:val="auto"/>
        </w:rPr>
        <w:t>获取</w:t>
      </w:r>
      <w:r>
        <w:rPr>
          <w:rStyle w:val="43"/>
          <w:rFonts w:hint="eastAsia" w:ascii="宋体" w:hAnsi="宋体" w:cs="宋体"/>
          <w:b/>
          <w:bCs/>
          <w:color w:val="auto"/>
        </w:rPr>
        <w:t>办法</w:t>
      </w:r>
      <w:bookmarkEnd w:id="10"/>
    </w:p>
    <w:p>
      <w:pPr>
        <w:shd w:val="clear" w:color="auto" w:fill="FFFFFF"/>
        <w:spacing w:line="360" w:lineRule="auto"/>
        <w:ind w:firstLine="525" w:firstLineChars="250"/>
        <w:rPr>
          <w:rFonts w:ascii="宋体" w:hAnsi="宋体" w:cs="宋体"/>
        </w:rPr>
      </w:pPr>
      <w:r>
        <w:rPr>
          <w:rFonts w:hint="eastAsia" w:ascii="宋体" w:hAnsi="宋体" w:cs="宋体"/>
        </w:rPr>
        <w:t>1、磋商文件获取时间（即磋商文件公告期限）：2019年 11月</w:t>
      </w:r>
      <w:r>
        <w:rPr>
          <w:rFonts w:hint="eastAsia" w:ascii="宋体" w:hAnsi="宋体" w:cs="宋体"/>
          <w:lang w:val="en-US" w:eastAsia="zh-CN"/>
        </w:rPr>
        <w:t>13</w:t>
      </w:r>
      <w:r>
        <w:rPr>
          <w:rFonts w:hint="eastAsia" w:ascii="宋体" w:hAnsi="宋体" w:cs="宋体"/>
        </w:rPr>
        <w:t>日 08时 至2019年11月</w:t>
      </w:r>
      <w:r>
        <w:rPr>
          <w:rFonts w:hint="eastAsia" w:ascii="宋体" w:hAnsi="宋体" w:cs="宋体"/>
          <w:lang w:val="en-US" w:eastAsia="zh-CN"/>
        </w:rPr>
        <w:t xml:space="preserve"> 25</w:t>
      </w:r>
      <w:r>
        <w:rPr>
          <w:rFonts w:hint="eastAsia" w:ascii="宋体" w:hAnsi="宋体" w:cs="宋体"/>
        </w:rPr>
        <w:t>日 17时00分</w:t>
      </w:r>
    </w:p>
    <w:p>
      <w:pPr>
        <w:shd w:val="clear" w:color="auto" w:fill="FFFFFF"/>
        <w:spacing w:line="360" w:lineRule="auto"/>
        <w:ind w:firstLine="525" w:firstLineChars="250"/>
        <w:rPr>
          <w:rFonts w:ascii="宋体" w:hAnsi="宋体" w:cs="宋体"/>
        </w:rPr>
      </w:pPr>
      <w:r>
        <w:rPr>
          <w:rFonts w:hint="eastAsia" w:ascii="宋体" w:hAnsi="宋体" w:cs="宋体"/>
        </w:rPr>
        <w:t>2、磋商文件价格：</w:t>
      </w:r>
      <w:r>
        <w:rPr>
          <w:rFonts w:hint="eastAsia" w:ascii="宋体" w:hAnsi="宋体" w:cs="宋体"/>
          <w:lang w:val="en-US" w:eastAsia="zh-CN"/>
        </w:rPr>
        <w:t>不收取</w:t>
      </w:r>
      <w:r>
        <w:rPr>
          <w:rFonts w:hint="eastAsia" w:ascii="宋体" w:hAnsi="宋体" w:cs="宋体"/>
        </w:rPr>
        <w:t>。</w:t>
      </w:r>
    </w:p>
    <w:p>
      <w:pPr>
        <w:shd w:val="clear" w:color="auto" w:fill="FFFFFF"/>
        <w:spacing w:line="360" w:lineRule="auto"/>
        <w:ind w:firstLine="525" w:firstLineChars="250"/>
        <w:rPr>
          <w:rFonts w:ascii="宋体" w:hAnsi="宋体" w:cs="宋体"/>
        </w:rPr>
      </w:pPr>
      <w:r>
        <w:rPr>
          <w:rFonts w:hint="eastAsia" w:ascii="宋体" w:hAnsi="宋体" w:cs="宋体"/>
        </w:rPr>
        <w:t>3、参与磋商方式：</w:t>
      </w:r>
    </w:p>
    <w:p>
      <w:pPr>
        <w:spacing w:line="360" w:lineRule="auto"/>
        <w:ind w:firstLine="420" w:firstLineChars="200"/>
        <w:rPr>
          <w:rFonts w:ascii="宋体" w:hAnsi="宋体" w:cs="宋体"/>
        </w:rPr>
      </w:pPr>
      <w:r>
        <w:rPr>
          <w:rFonts w:hint="eastAsia" w:ascii="宋体" w:hAnsi="宋体" w:cs="宋体"/>
        </w:rPr>
        <w:t>（1）凡有意参加投标者，在磋商文件获取时间范围内均可在</w:t>
      </w:r>
      <w:r>
        <w:rPr>
          <w:rFonts w:hint="eastAsia" w:ascii="宋体" w:hAnsi="宋体"/>
        </w:rPr>
        <w:t>宿州交通文化旅游投资集团有限公司网站</w:t>
      </w:r>
      <w:r>
        <w:rPr>
          <w:rFonts w:hint="eastAsia" w:ascii="宋体" w:hAnsi="宋体" w:cs="宋体"/>
        </w:rPr>
        <w:t>进行下载。</w:t>
      </w:r>
    </w:p>
    <w:p>
      <w:pPr>
        <w:spacing w:line="360" w:lineRule="auto"/>
        <w:ind w:firstLine="420" w:firstLineChars="200"/>
        <w:rPr>
          <w:rFonts w:ascii="宋体" w:hAnsi="宋体" w:cs="宋体"/>
        </w:rPr>
      </w:pPr>
      <w:r>
        <w:rPr>
          <w:rFonts w:hint="eastAsia" w:ascii="宋体" w:hAnsi="宋体" w:cs="宋体"/>
        </w:rPr>
        <w:t>（2）请在磋商文件获取时间范围内下载获取磋商文件，逾期系统将自动关闭，无法下载磋商文件。</w:t>
      </w:r>
    </w:p>
    <w:p>
      <w:pPr>
        <w:spacing w:line="360" w:lineRule="auto"/>
        <w:ind w:firstLine="620" w:firstLineChars="294"/>
        <w:rPr>
          <w:rFonts w:ascii="宋体" w:hAnsi="宋体" w:cs="宋体"/>
          <w:b/>
          <w:bCs/>
        </w:rPr>
      </w:pPr>
      <w:bookmarkStart w:id="11" w:name="_Toc511898261"/>
      <w:bookmarkEnd w:id="11"/>
      <w:bookmarkStart w:id="12" w:name="_Toc511899290"/>
      <w:r>
        <w:rPr>
          <w:rFonts w:hint="eastAsia" w:ascii="宋体" w:hAnsi="宋体" w:cs="宋体"/>
          <w:b/>
          <w:bCs/>
        </w:rPr>
        <w:t>四、</w:t>
      </w:r>
      <w:bookmarkEnd w:id="12"/>
      <w:bookmarkStart w:id="13" w:name="_Toc511898262"/>
      <w:bookmarkEnd w:id="13"/>
      <w:r>
        <w:rPr>
          <w:rFonts w:hint="eastAsia" w:ascii="宋体" w:hAnsi="宋体" w:cs="宋体"/>
          <w:b/>
          <w:bCs/>
        </w:rPr>
        <w:t>磋商时间及地点</w:t>
      </w:r>
    </w:p>
    <w:p>
      <w:pPr>
        <w:spacing w:line="360" w:lineRule="auto"/>
        <w:ind w:firstLine="525" w:firstLineChars="250"/>
        <w:rPr>
          <w:rFonts w:ascii="宋体" w:hAnsi="宋体" w:cs="宋体"/>
        </w:rPr>
      </w:pPr>
      <w:r>
        <w:rPr>
          <w:rFonts w:hint="eastAsia" w:ascii="宋体" w:hAnsi="宋体" w:cs="宋体"/>
        </w:rPr>
        <w:t>1、磋商时间：2019年11月2</w:t>
      </w:r>
      <w:r>
        <w:rPr>
          <w:rFonts w:hint="eastAsia" w:ascii="宋体" w:hAnsi="宋体" w:cs="宋体"/>
          <w:lang w:val="en-US" w:eastAsia="zh-CN"/>
        </w:rPr>
        <w:t>6</w:t>
      </w:r>
      <w:r>
        <w:rPr>
          <w:rFonts w:hint="eastAsia" w:ascii="宋体" w:hAnsi="宋体" w:cs="宋体"/>
        </w:rPr>
        <w:t xml:space="preserve"> 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3</w:t>
      </w:r>
      <w:r>
        <w:rPr>
          <w:rFonts w:hint="eastAsia" w:ascii="宋体" w:hAnsi="宋体" w:cs="宋体"/>
        </w:rPr>
        <w:t>0分（注：距磋商文件发售开始时间不少于10日）。</w:t>
      </w:r>
    </w:p>
    <w:p>
      <w:pPr>
        <w:spacing w:line="360" w:lineRule="auto"/>
        <w:ind w:firstLine="525" w:firstLineChars="250"/>
        <w:rPr>
          <w:rFonts w:ascii="宋体" w:hAnsi="宋体" w:cs="宋体"/>
          <w:b/>
          <w:bCs/>
        </w:rPr>
      </w:pPr>
      <w:r>
        <w:rPr>
          <w:rFonts w:hint="eastAsia" w:ascii="宋体" w:hAnsi="宋体" w:cs="宋体"/>
        </w:rPr>
        <w:t>2、磋商地点：宿州交通文化旅游投资集团有限公司评标室（宿州市产品质量检验检测中心911室）。</w:t>
      </w:r>
    </w:p>
    <w:p>
      <w:pPr>
        <w:spacing w:line="360" w:lineRule="auto"/>
        <w:ind w:firstLine="620" w:firstLineChars="294"/>
        <w:rPr>
          <w:rFonts w:ascii="宋体" w:hAnsi="宋体" w:cs="宋体"/>
          <w:b/>
          <w:bCs/>
        </w:rPr>
      </w:pPr>
      <w:bookmarkStart w:id="14" w:name="_Toc511898263"/>
      <w:bookmarkEnd w:id="14"/>
      <w:bookmarkStart w:id="15" w:name="_Toc511899292"/>
      <w:r>
        <w:rPr>
          <w:rFonts w:hint="eastAsia" w:ascii="宋体" w:hAnsi="宋体" w:cs="宋体"/>
          <w:b/>
          <w:bCs/>
        </w:rPr>
        <w:t>五、</w:t>
      </w:r>
      <w:bookmarkEnd w:id="15"/>
      <w:r>
        <w:rPr>
          <w:rFonts w:hint="eastAsia" w:ascii="宋体" w:hAnsi="宋体" w:cs="宋体"/>
          <w:b/>
          <w:bCs/>
        </w:rPr>
        <w:t>响应文件提交截止时间、开启时间及地点</w:t>
      </w:r>
    </w:p>
    <w:p>
      <w:pPr>
        <w:spacing w:line="360" w:lineRule="auto"/>
        <w:ind w:firstLine="525" w:firstLineChars="250"/>
        <w:rPr>
          <w:rFonts w:ascii="宋体" w:hAnsi="宋体" w:cs="宋体"/>
        </w:rPr>
      </w:pPr>
      <w:r>
        <w:rPr>
          <w:rFonts w:hint="eastAsia" w:ascii="宋体" w:hAnsi="宋体" w:cs="宋体"/>
        </w:rPr>
        <w:t>1、截止时间: 2019年11月2</w:t>
      </w:r>
      <w:r>
        <w:rPr>
          <w:rFonts w:hint="eastAsia" w:ascii="宋体" w:hAnsi="宋体" w:cs="宋体"/>
          <w:lang w:val="en-US" w:eastAsia="zh-CN"/>
        </w:rPr>
        <w:t>6日14</w:t>
      </w:r>
      <w:r>
        <w:rPr>
          <w:rFonts w:hint="eastAsia" w:ascii="宋体" w:hAnsi="宋体" w:cs="宋体"/>
        </w:rPr>
        <w:t>时</w:t>
      </w:r>
      <w:r>
        <w:rPr>
          <w:rFonts w:hint="eastAsia" w:ascii="宋体" w:hAnsi="宋体" w:cs="宋体"/>
          <w:lang w:val="en-US" w:eastAsia="zh-CN"/>
        </w:rPr>
        <w:t>3</w:t>
      </w:r>
      <w:r>
        <w:rPr>
          <w:rFonts w:hint="eastAsia" w:ascii="宋体" w:hAnsi="宋体" w:cs="宋体"/>
        </w:rPr>
        <w:t xml:space="preserve">0分        </w:t>
      </w:r>
    </w:p>
    <w:p>
      <w:pPr>
        <w:spacing w:line="360" w:lineRule="auto"/>
        <w:ind w:firstLine="525" w:firstLineChars="250"/>
        <w:rPr>
          <w:rFonts w:ascii="宋体" w:hAnsi="宋体" w:cs="宋体"/>
        </w:rPr>
      </w:pPr>
      <w:r>
        <w:rPr>
          <w:rFonts w:hint="eastAsia" w:ascii="宋体" w:hAnsi="宋体" w:cs="宋体"/>
        </w:rPr>
        <w:t>2、开启时间: 2019年11月2</w:t>
      </w:r>
      <w:r>
        <w:rPr>
          <w:rFonts w:hint="eastAsia" w:ascii="宋体" w:hAnsi="宋体" w:cs="宋体"/>
          <w:lang w:val="en-US" w:eastAsia="zh-CN"/>
        </w:rPr>
        <w:t>6</w:t>
      </w:r>
      <w:r>
        <w:rPr>
          <w:rFonts w:hint="eastAsia" w:ascii="宋体" w:hAnsi="宋体" w:cs="宋体"/>
        </w:rPr>
        <w:t>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3</w:t>
      </w:r>
      <w:r>
        <w:rPr>
          <w:rFonts w:hint="eastAsia" w:ascii="宋体" w:hAnsi="宋体" w:cs="宋体"/>
        </w:rPr>
        <w:t xml:space="preserve">0分       </w:t>
      </w:r>
    </w:p>
    <w:p>
      <w:pPr>
        <w:spacing w:line="360" w:lineRule="auto"/>
        <w:ind w:firstLine="525" w:firstLineChars="250"/>
        <w:rPr>
          <w:rFonts w:ascii="宋体" w:hAnsi="宋体" w:cs="宋体"/>
        </w:rPr>
      </w:pPr>
      <w:r>
        <w:rPr>
          <w:rFonts w:hint="eastAsia" w:ascii="宋体" w:hAnsi="宋体" w:cs="宋体"/>
        </w:rPr>
        <w:t xml:space="preserve">3、提交地点: 宿州交通文化旅游投资集团有限公司八楼826会议室（宿州市产品质量检验检测中心）       </w:t>
      </w:r>
    </w:p>
    <w:p>
      <w:pPr>
        <w:spacing w:line="360" w:lineRule="auto"/>
        <w:ind w:firstLine="620" w:firstLineChars="294"/>
        <w:rPr>
          <w:rFonts w:ascii="宋体" w:hAnsi="宋体" w:cs="宋体"/>
          <w:b/>
          <w:bCs/>
        </w:rPr>
      </w:pPr>
      <w:bookmarkStart w:id="16" w:name="_Toc511898264"/>
      <w:bookmarkEnd w:id="16"/>
      <w:bookmarkStart w:id="17" w:name="_Toc511899293"/>
      <w:r>
        <w:rPr>
          <w:rFonts w:hint="eastAsia" w:ascii="宋体" w:hAnsi="宋体" w:cs="宋体"/>
          <w:b/>
          <w:bCs/>
        </w:rPr>
        <w:t>六、联系方法</w:t>
      </w:r>
      <w:bookmarkEnd w:id="17"/>
    </w:p>
    <w:p>
      <w:pPr>
        <w:spacing w:line="360" w:lineRule="auto"/>
        <w:ind w:firstLine="525" w:firstLineChars="250"/>
        <w:rPr>
          <w:rFonts w:ascii="宋体" w:hAnsi="宋体" w:cs="宋体"/>
        </w:rPr>
      </w:pPr>
      <w:r>
        <w:rPr>
          <w:rFonts w:hint="eastAsia" w:ascii="宋体" w:hAnsi="宋体" w:cs="宋体"/>
        </w:rPr>
        <w:t xml:space="preserve">（一）采购人：宿州交通文化旅游投资集团有限公司  </w:t>
      </w:r>
    </w:p>
    <w:p>
      <w:pPr>
        <w:spacing w:line="360" w:lineRule="auto"/>
        <w:ind w:firstLine="525" w:firstLineChars="250"/>
        <w:rPr>
          <w:rFonts w:ascii="宋体" w:hAnsi="宋体" w:cs="宋体"/>
        </w:rPr>
      </w:pPr>
      <w:r>
        <w:rPr>
          <w:rFonts w:hint="eastAsia" w:ascii="宋体" w:hAnsi="宋体" w:cs="宋体"/>
        </w:rPr>
        <w:t>1、地  址：宿州市经开区鞋城七路与拂晓大道交叉口</w:t>
      </w:r>
    </w:p>
    <w:p>
      <w:pPr>
        <w:spacing w:line="360" w:lineRule="auto"/>
        <w:ind w:firstLine="525" w:firstLineChars="250"/>
        <w:rPr>
          <w:rFonts w:ascii="宋体" w:hAnsi="宋体" w:cs="宋体"/>
        </w:rPr>
      </w:pPr>
      <w:r>
        <w:rPr>
          <w:rFonts w:hint="eastAsia" w:ascii="宋体" w:hAnsi="宋体" w:cs="宋体"/>
        </w:rPr>
        <w:t>2、联系人：</w:t>
      </w:r>
      <w:r>
        <w:rPr>
          <w:rFonts w:ascii="宋体" w:hAnsi="宋体" w:cs="宋体"/>
        </w:rPr>
        <w:t xml:space="preserve"> </w:t>
      </w:r>
      <w:r>
        <w:rPr>
          <w:rFonts w:hint="eastAsia" w:ascii="宋体" w:hAnsi="宋体" w:cs="宋体"/>
        </w:rPr>
        <w:t>仲部长</w:t>
      </w:r>
    </w:p>
    <w:p>
      <w:pPr>
        <w:spacing w:line="360" w:lineRule="auto"/>
        <w:ind w:firstLine="525" w:firstLineChars="250"/>
        <w:rPr>
          <w:rFonts w:ascii="宋体" w:hAnsi="宋体" w:cs="宋体"/>
        </w:rPr>
      </w:pPr>
      <w:r>
        <w:rPr>
          <w:rFonts w:hint="eastAsia" w:ascii="宋体" w:hAnsi="宋体" w:cs="宋体"/>
        </w:rPr>
        <w:t>3、电  话：0557-2399968</w:t>
      </w:r>
    </w:p>
    <w:p>
      <w:pPr>
        <w:spacing w:line="360" w:lineRule="auto"/>
        <w:ind w:firstLine="525" w:firstLineChars="250"/>
        <w:rPr>
          <w:rFonts w:ascii="宋体" w:hAnsi="宋体" w:cs="宋体"/>
        </w:rPr>
      </w:pPr>
      <w:r>
        <w:rPr>
          <w:rFonts w:hint="eastAsia" w:ascii="宋体" w:hAnsi="宋体" w:cs="宋体"/>
        </w:rPr>
        <w:t>（二）采购代理机构：</w:t>
      </w:r>
      <w:r>
        <w:rPr>
          <w:rFonts w:hint="eastAsia" w:ascii="宋体" w:hAnsi="宋体" w:cs="宋体"/>
          <w:kern w:val="0"/>
          <w:lang w:val="zh-CN"/>
        </w:rPr>
        <w:t>宿州骏达工程管理咨询有限公司</w:t>
      </w:r>
      <w:r>
        <w:rPr>
          <w:rFonts w:hint="eastAsia" w:ascii="宋体" w:hAnsi="宋体" w:cs="宋体"/>
        </w:rPr>
        <w:t xml:space="preserve">   </w:t>
      </w:r>
    </w:p>
    <w:p>
      <w:pPr>
        <w:spacing w:line="360" w:lineRule="auto"/>
        <w:ind w:firstLine="525" w:firstLineChars="250"/>
        <w:rPr>
          <w:rFonts w:ascii="宋体" w:hAnsi="宋体" w:cs="宋体"/>
        </w:rPr>
      </w:pPr>
      <w:r>
        <w:rPr>
          <w:rFonts w:hint="eastAsia" w:ascii="宋体" w:hAnsi="宋体" w:cs="宋体"/>
        </w:rPr>
        <w:t>1、地  址：</w:t>
      </w:r>
      <w:r>
        <w:rPr>
          <w:rFonts w:hint="eastAsia" w:ascii="宋体" w:hAnsi="宋体" w:cs="宋体"/>
          <w:kern w:val="0"/>
          <w:lang w:val="zh-CN"/>
        </w:rPr>
        <w:t>安徽省宿州市道东南货厂路8号</w:t>
      </w:r>
      <w:r>
        <w:rPr>
          <w:rFonts w:hint="eastAsia" w:ascii="宋体" w:hAnsi="宋体" w:cs="宋体"/>
        </w:rPr>
        <w:t xml:space="preserve">  </w:t>
      </w:r>
    </w:p>
    <w:p>
      <w:pPr>
        <w:spacing w:line="360" w:lineRule="auto"/>
        <w:ind w:firstLine="525" w:firstLineChars="250"/>
        <w:rPr>
          <w:rFonts w:ascii="宋体" w:hAnsi="宋体" w:cs="宋体"/>
        </w:rPr>
      </w:pPr>
      <w:r>
        <w:rPr>
          <w:rFonts w:hint="eastAsia" w:ascii="宋体" w:hAnsi="宋体" w:cs="宋体"/>
        </w:rPr>
        <w:t>2、联系人：赵工</w:t>
      </w:r>
    </w:p>
    <w:p>
      <w:pPr>
        <w:spacing w:line="360" w:lineRule="auto"/>
        <w:ind w:firstLine="525" w:firstLineChars="250"/>
        <w:rPr>
          <w:rFonts w:ascii="宋体" w:hAnsi="宋体" w:cs="宋体"/>
          <w:kern w:val="0"/>
          <w:sz w:val="32"/>
          <w:szCs w:val="32"/>
        </w:rPr>
      </w:pPr>
      <w:r>
        <w:rPr>
          <w:rFonts w:hint="eastAsia" w:ascii="宋体" w:hAnsi="宋体" w:cs="宋体"/>
        </w:rPr>
        <w:t>3、电  话：</w:t>
      </w:r>
      <w:r>
        <w:rPr>
          <w:rFonts w:hint="eastAsia" w:ascii="宋体" w:hAnsi="宋体" w:cs="宋体"/>
          <w:kern w:val="0"/>
          <w:lang w:val="zh-CN"/>
        </w:rPr>
        <w:t>0557-2226958         手机：18095693150</w:t>
      </w:r>
    </w:p>
    <w:p>
      <w:pPr>
        <w:spacing w:line="360" w:lineRule="auto"/>
        <w:ind w:firstLine="620" w:firstLineChars="294"/>
        <w:rPr>
          <w:rFonts w:ascii="宋体" w:hAnsi="宋体" w:cs="宋体"/>
          <w:b/>
          <w:bCs/>
        </w:rPr>
      </w:pPr>
      <w:bookmarkStart w:id="18" w:name="_Toc511899294"/>
      <w:bookmarkEnd w:id="18"/>
      <w:r>
        <w:rPr>
          <w:rFonts w:hint="eastAsia" w:ascii="宋体" w:hAnsi="宋体" w:cs="宋体"/>
          <w:b/>
          <w:bCs/>
        </w:rPr>
        <w:t>七</w:t>
      </w:r>
      <w:bookmarkStart w:id="19" w:name="_Toc511899295"/>
      <w:r>
        <w:rPr>
          <w:rFonts w:hint="eastAsia" w:ascii="宋体" w:hAnsi="宋体" w:cs="宋体"/>
          <w:b/>
          <w:bCs/>
        </w:rPr>
        <w:t>、其它事项说明</w:t>
      </w:r>
      <w:bookmarkEnd w:id="19"/>
    </w:p>
    <w:p>
      <w:pPr>
        <w:spacing w:line="360" w:lineRule="auto"/>
        <w:ind w:firstLine="525" w:firstLineChars="250"/>
        <w:rPr>
          <w:rFonts w:ascii="宋体" w:hAnsi="宋体" w:cs="宋体"/>
        </w:rPr>
      </w:pPr>
      <w:r>
        <w:rPr>
          <w:rFonts w:hint="eastAsia" w:ascii="宋体" w:hAnsi="宋体" w:cs="宋体"/>
        </w:rPr>
        <w:t>1、本项目在磋商响应文件提交时，需同时提交含有磋商响应文件的电子u盘一份（否则将否决其参与磋商），电子u盘封装要求详见磋商文件。</w:t>
      </w:r>
    </w:p>
    <w:p>
      <w:pPr>
        <w:spacing w:line="360" w:lineRule="auto"/>
        <w:ind w:firstLine="620" w:firstLineChars="294"/>
        <w:rPr>
          <w:rFonts w:ascii="宋体" w:hAnsi="宋体" w:cs="宋体"/>
          <w:b/>
          <w:bCs/>
        </w:rPr>
      </w:pPr>
      <w:r>
        <w:rPr>
          <w:rFonts w:hint="eastAsia" w:ascii="宋体" w:hAnsi="宋体" w:cs="宋体"/>
          <w:b/>
          <w:bCs/>
        </w:rPr>
        <w:t>八、磋商保证金缴纳账户</w:t>
      </w:r>
    </w:p>
    <w:p>
      <w:pPr>
        <w:spacing w:line="360" w:lineRule="auto"/>
        <w:ind w:firstLine="525" w:firstLineChars="250"/>
        <w:rPr>
          <w:rFonts w:ascii="宋体" w:hAnsi="宋体" w:cs="宋体"/>
        </w:rPr>
      </w:pPr>
      <w:r>
        <w:rPr>
          <w:rFonts w:hint="eastAsia" w:ascii="宋体" w:hAnsi="宋体" w:cs="宋体"/>
        </w:rPr>
        <w:t>1、户名：</w:t>
      </w:r>
      <w:r>
        <w:rPr>
          <w:rFonts w:hint="eastAsia" w:ascii="宋体" w:hAnsi="宋体" w:cs="宋体"/>
          <w:kern w:val="0"/>
          <w:lang w:val="zh-CN"/>
        </w:rPr>
        <w:t>宿州骏达工程管理咨询有限公司</w:t>
      </w:r>
      <w:r>
        <w:rPr>
          <w:rFonts w:hint="eastAsia" w:ascii="宋体" w:hAnsi="宋体" w:cs="宋体"/>
        </w:rPr>
        <w:tab/>
      </w:r>
    </w:p>
    <w:p>
      <w:pPr>
        <w:spacing w:line="360" w:lineRule="auto"/>
        <w:ind w:firstLine="525" w:firstLineChars="250"/>
        <w:rPr>
          <w:rFonts w:ascii="宋体" w:hAnsi="宋体" w:cs="宋体"/>
        </w:rPr>
      </w:pPr>
      <w:r>
        <w:rPr>
          <w:rFonts w:hint="eastAsia" w:ascii="宋体" w:hAnsi="宋体" w:cs="宋体"/>
        </w:rPr>
        <w:t>2、账号：2510901021000010768</w:t>
      </w:r>
      <w:r>
        <w:rPr>
          <w:rFonts w:hint="eastAsia" w:ascii="宋体" w:hAnsi="宋体" w:cs="宋体"/>
        </w:rPr>
        <w:tab/>
      </w:r>
    </w:p>
    <w:p>
      <w:pPr>
        <w:spacing w:line="360" w:lineRule="auto"/>
        <w:ind w:firstLine="525" w:firstLineChars="250"/>
        <w:rPr>
          <w:rFonts w:ascii="宋体" w:hAnsi="宋体" w:cs="宋体"/>
        </w:rPr>
      </w:pPr>
      <w:r>
        <w:rPr>
          <w:rFonts w:hint="eastAsia" w:ascii="宋体" w:hAnsi="宋体" w:cs="宋体"/>
        </w:rPr>
        <w:t xml:space="preserve">3、开户银行：徽商银行宿州纺织路支行                  </w:t>
      </w:r>
    </w:p>
    <w:p>
      <w:pPr>
        <w:spacing w:line="360" w:lineRule="auto"/>
        <w:ind w:firstLine="620" w:firstLineChars="294"/>
        <w:rPr>
          <w:rFonts w:ascii="宋体" w:hAnsi="宋体" w:cs="宋体"/>
          <w:b/>
          <w:bCs/>
        </w:rPr>
      </w:pPr>
      <w:r>
        <w:rPr>
          <w:rFonts w:hint="eastAsia" w:ascii="宋体" w:hAnsi="宋体" w:cs="宋体"/>
          <w:b/>
          <w:bCs/>
        </w:rPr>
        <w:t>九、附件：项目采购需求</w:t>
      </w:r>
    </w:p>
    <w:p>
      <w:pPr>
        <w:shd w:val="clear" w:color="auto" w:fill="FFFFFF"/>
        <w:spacing w:line="360" w:lineRule="auto"/>
        <w:ind w:firstLine="420" w:firstLineChars="200"/>
        <w:rPr>
          <w:rFonts w:ascii="宋体" w:hAnsi="宋体" w:cs="宋体"/>
        </w:rPr>
      </w:pPr>
      <w:r>
        <w:rPr>
          <w:rFonts w:hint="eastAsia" w:ascii="宋体" w:hAnsi="宋体" w:cs="宋体"/>
        </w:rPr>
        <w:t xml:space="preserve">                              宿州交通文化旅游投资集团有限公司（采购人） </w:t>
      </w:r>
    </w:p>
    <w:p>
      <w:pPr>
        <w:spacing w:line="360" w:lineRule="auto"/>
        <w:rPr>
          <w:rFonts w:ascii="宋体" w:hAnsi="宋体" w:cs="宋体"/>
        </w:rPr>
      </w:pPr>
      <w:r>
        <w:rPr>
          <w:rFonts w:hint="eastAsia" w:ascii="宋体" w:hAnsi="宋体" w:cs="宋体"/>
        </w:rPr>
        <w:t xml:space="preserve">                                  </w:t>
      </w:r>
      <w:r>
        <w:rPr>
          <w:rFonts w:hint="eastAsia" w:ascii="宋体" w:hAnsi="宋体" w:cs="宋体"/>
          <w:kern w:val="0"/>
          <w:lang w:val="zh-CN"/>
        </w:rPr>
        <w:t>宿州骏达工程管理咨询有限公司</w:t>
      </w:r>
      <w:r>
        <w:rPr>
          <w:rFonts w:hint="eastAsia" w:ascii="宋体" w:hAnsi="宋体" w:cs="宋体"/>
        </w:rPr>
        <w:t xml:space="preserve">（采购代理机构） </w:t>
      </w:r>
    </w:p>
    <w:p>
      <w:pPr>
        <w:spacing w:line="360" w:lineRule="auto"/>
      </w:pPr>
      <w:r>
        <w:rPr>
          <w:rFonts w:hint="eastAsia" w:ascii="宋体" w:hAnsi="宋体" w:cs="宋体"/>
        </w:rPr>
        <w:t xml:space="preserve">                                                           2019年11月</w:t>
      </w:r>
      <w:r>
        <w:rPr>
          <w:rFonts w:hint="eastAsia" w:ascii="宋体" w:hAnsi="宋体" w:cs="宋体"/>
          <w:lang w:val="en-US" w:eastAsia="zh-CN"/>
        </w:rPr>
        <w:t>13</w:t>
      </w:r>
      <w:r>
        <w:rPr>
          <w:rFonts w:hint="eastAsia" w:ascii="宋体" w:hAnsi="宋体" w:cs="宋体"/>
        </w:rPr>
        <w:t>日</w:t>
      </w:r>
    </w:p>
    <w:p>
      <w:pPr>
        <w:spacing w:line="360" w:lineRule="auto"/>
      </w:pPr>
    </w:p>
    <w:p>
      <w:pPr>
        <w:pStyle w:val="2"/>
        <w:ind w:firstLine="560"/>
      </w:pPr>
    </w:p>
    <w:p>
      <w:pPr>
        <w:pStyle w:val="2"/>
        <w:ind w:firstLine="560"/>
      </w:pPr>
    </w:p>
    <w:p>
      <w:pPr>
        <w:pStyle w:val="2"/>
        <w:ind w:firstLine="560"/>
      </w:pPr>
    </w:p>
    <w:p>
      <w:pPr>
        <w:pStyle w:val="2"/>
        <w:ind w:firstLine="560"/>
      </w:pPr>
    </w:p>
    <w:p>
      <w:pPr>
        <w:pStyle w:val="2"/>
        <w:ind w:firstLine="560"/>
      </w:pPr>
    </w:p>
    <w:p>
      <w:pPr>
        <w:pStyle w:val="2"/>
        <w:ind w:firstLine="560"/>
      </w:pPr>
    </w:p>
    <w:p>
      <w:pPr>
        <w:pStyle w:val="2"/>
        <w:ind w:firstLine="560"/>
      </w:pPr>
    </w:p>
    <w:p>
      <w:pPr>
        <w:pStyle w:val="2"/>
        <w:ind w:left="0" w:leftChars="0" w:firstLine="0" w:firstLineChars="0"/>
      </w:pPr>
    </w:p>
    <w:p>
      <w:pPr>
        <w:pStyle w:val="2"/>
        <w:ind w:left="0" w:leftChars="0" w:firstLine="0" w:firstLineChars="0"/>
      </w:pPr>
    </w:p>
    <w:p>
      <w:pPr>
        <w:pStyle w:val="2"/>
        <w:ind w:firstLine="560"/>
      </w:pPr>
    </w:p>
    <w:p>
      <w:pPr>
        <w:pStyle w:val="59"/>
        <w:rPr>
          <w:color w:val="auto"/>
        </w:rPr>
      </w:pPr>
      <w:bookmarkStart w:id="20" w:name="_Toc511899296"/>
      <w:bookmarkEnd w:id="20"/>
      <w:bookmarkStart w:id="21" w:name="_Toc24219"/>
      <w:r>
        <w:rPr>
          <w:rFonts w:hint="eastAsia" w:ascii="黑体"/>
          <w:color w:val="auto"/>
        </w:rPr>
        <w:t>第二章</w:t>
      </w:r>
      <w:r>
        <w:rPr>
          <w:rFonts w:hint="eastAsia"/>
          <w:color w:val="auto"/>
        </w:rPr>
        <w:t xml:space="preserve"> </w:t>
      </w:r>
      <w:r>
        <w:rPr>
          <w:rFonts w:hint="eastAsia" w:ascii="黑体"/>
          <w:color w:val="auto"/>
        </w:rPr>
        <w:t>供应商须知前附表</w:t>
      </w:r>
      <w:bookmarkEnd w:id="21"/>
    </w:p>
    <w:tbl>
      <w:tblPr>
        <w:tblStyle w:val="24"/>
        <w:tblW w:w="9585" w:type="dxa"/>
        <w:tblInd w:w="-441"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850"/>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3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宋体" w:hAnsi="宋体" w:cs="Arial"/>
                <w:b/>
                <w:bCs/>
              </w:rPr>
            </w:pPr>
            <w:r>
              <w:rPr>
                <w:rFonts w:hint="eastAsia" w:ascii="宋体" w:hAnsi="宋体" w:cs="Arial"/>
                <w:b/>
                <w:bCs/>
              </w:rPr>
              <w:t>序号</w:t>
            </w:r>
          </w:p>
        </w:tc>
        <w:tc>
          <w:tcPr>
            <w:tcW w:w="8850" w:type="dxa"/>
            <w:tcBorders>
              <w:top w:val="double" w:color="auto" w:sz="2" w:space="0"/>
              <w:left w:val="single" w:color="auto" w:sz="4" w:space="0"/>
              <w:bottom w:val="single" w:color="auto" w:sz="4" w:space="0"/>
              <w:right w:val="double" w:color="auto" w:sz="2" w:space="0"/>
            </w:tcBorders>
            <w:vAlign w:val="center"/>
          </w:tcPr>
          <w:p>
            <w:pPr>
              <w:spacing w:line="360" w:lineRule="auto"/>
              <w:jc w:val="center"/>
              <w:rPr>
                <w:rFonts w:ascii="宋体" w:hAnsi="宋体" w:cs="Arial"/>
                <w:b/>
                <w:bCs/>
              </w:rPr>
            </w:pPr>
            <w:r>
              <w:rPr>
                <w:rFonts w:hint="eastAsia" w:ascii="宋体" w:hAnsi="宋体" w:cs="Arial"/>
                <w:b/>
                <w:bCs/>
              </w:rPr>
              <w:t>内  容</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w:t>
            </w:r>
          </w:p>
        </w:tc>
        <w:tc>
          <w:tcPr>
            <w:tcW w:w="8850" w:type="dxa"/>
            <w:tcBorders>
              <w:top w:val="single" w:color="auto" w:sz="4" w:space="0"/>
              <w:left w:val="single" w:color="auto" w:sz="4" w:space="0"/>
              <w:bottom w:val="single" w:color="auto" w:sz="4" w:space="0"/>
              <w:right w:val="double" w:color="auto" w:sz="2" w:space="0"/>
            </w:tcBorders>
            <w:vAlign w:val="center"/>
          </w:tcPr>
          <w:p>
            <w:pPr>
              <w:spacing w:line="400" w:lineRule="exact"/>
              <w:ind w:left="-3" w:firstLine="3"/>
              <w:rPr>
                <w:rFonts w:ascii="宋体" w:hAnsi="宋体" w:cs="Arial"/>
                <w:b/>
                <w:bCs/>
              </w:rPr>
            </w:pPr>
            <w:r>
              <w:rPr>
                <w:rFonts w:hint="eastAsia" w:ascii="宋体" w:hAnsi="宋体" w:cs="Arial"/>
              </w:rPr>
              <w:t>项目名称：</w:t>
            </w:r>
            <w:r>
              <w:rPr>
                <w:rFonts w:hint="eastAsia" w:ascii="宋体" w:hAnsi="宋体" w:cs="Arial"/>
                <w:b/>
              </w:rPr>
              <w:t>宿州交通文化旅游投资集团有限公司转型战略规划和内部管控提升方案采购</w:t>
            </w:r>
            <w:r>
              <w:rPr>
                <w:rFonts w:hint="eastAsia" w:ascii="宋体" w:hAnsi="宋体" w:cs="Arial"/>
              </w:rPr>
              <w:t xml:space="preserve">        </w:t>
            </w:r>
          </w:p>
          <w:p>
            <w:pPr>
              <w:spacing w:line="400" w:lineRule="exact"/>
              <w:rPr>
                <w:rFonts w:ascii="宋体" w:hAnsi="宋体" w:cs="Arial"/>
              </w:rPr>
            </w:pPr>
            <w:r>
              <w:rPr>
                <w:rFonts w:hint="eastAsia" w:ascii="宋体" w:hAnsi="宋体" w:cs="Arial"/>
              </w:rPr>
              <w:t>采购预算：850000元</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ind w:right="102"/>
              <w:jc w:val="center"/>
              <w:rPr>
                <w:rFonts w:ascii="宋体" w:hAnsi="宋体" w:cs="Arial"/>
              </w:rPr>
            </w:pPr>
            <w:r>
              <w:rPr>
                <w:rFonts w:hint="eastAsia" w:ascii="宋体" w:hAnsi="宋体" w:cs="Arial"/>
              </w:rPr>
              <w:t>2</w:t>
            </w:r>
          </w:p>
        </w:tc>
        <w:tc>
          <w:tcPr>
            <w:tcW w:w="8850" w:type="dxa"/>
            <w:tcBorders>
              <w:top w:val="single" w:color="auto" w:sz="4" w:space="0"/>
              <w:left w:val="single" w:color="auto" w:sz="4" w:space="0"/>
              <w:bottom w:val="single" w:color="auto" w:sz="4" w:space="0"/>
              <w:right w:val="double" w:color="auto" w:sz="2" w:space="0"/>
            </w:tcBorders>
            <w:vAlign w:val="center"/>
          </w:tcPr>
          <w:p>
            <w:pPr>
              <w:spacing w:line="400" w:lineRule="exact"/>
              <w:ind w:left="-6" w:firstLine="6"/>
              <w:rPr>
                <w:rFonts w:ascii="宋体" w:hAnsi="宋体" w:cs="Arial"/>
              </w:rPr>
            </w:pPr>
            <w:r>
              <w:rPr>
                <w:rFonts w:hint="eastAsia" w:ascii="宋体" w:hAnsi="宋体" w:cs="Arial"/>
              </w:rPr>
              <w:t>采购人：</w:t>
            </w:r>
            <w:r>
              <w:rPr>
                <w:rFonts w:hint="eastAsia" w:ascii="宋体" w:hAnsi="宋体" w:cs="宋体"/>
              </w:rPr>
              <w:t>宿州交通文化旅游投资集团有限公司</w:t>
            </w:r>
          </w:p>
          <w:p>
            <w:pPr>
              <w:spacing w:line="400" w:lineRule="exact"/>
              <w:ind w:left="-6" w:firstLine="6"/>
              <w:rPr>
                <w:rFonts w:ascii="宋体" w:hAnsi="宋体" w:cs="Arial"/>
                <w:u w:val="single"/>
              </w:rPr>
            </w:pPr>
            <w:r>
              <w:rPr>
                <w:rFonts w:hint="eastAsia" w:ascii="宋体" w:hAnsi="宋体" w:cs="Arial"/>
              </w:rPr>
              <w:t>地址：</w:t>
            </w:r>
            <w:r>
              <w:rPr>
                <w:rFonts w:hint="eastAsia" w:ascii="宋体" w:hAnsi="宋体" w:cs="宋体"/>
                <w:u w:val="single"/>
              </w:rPr>
              <w:t>宿州市经开区鞋城七路与拂晓大道交叉口</w:t>
            </w:r>
          </w:p>
          <w:p>
            <w:pPr>
              <w:spacing w:line="400" w:lineRule="exact"/>
              <w:ind w:left="-6" w:firstLine="6"/>
              <w:rPr>
                <w:rFonts w:ascii="宋体" w:hAnsi="宋体" w:cs="Arial"/>
              </w:rPr>
            </w:pPr>
            <w:r>
              <w:rPr>
                <w:rFonts w:hint="eastAsia" w:ascii="宋体" w:hAnsi="宋体" w:cs="Arial"/>
              </w:rPr>
              <w:t>联系人及联系方式：</w:t>
            </w:r>
            <w:r>
              <w:rPr>
                <w:rFonts w:hint="eastAsia" w:ascii="宋体" w:hAnsi="宋体"/>
                <w:u w:val="single"/>
                <w:lang w:bidi="he-IL"/>
              </w:rPr>
              <w:t xml:space="preserve">仲部长   </w:t>
            </w:r>
            <w:r>
              <w:rPr>
                <w:rFonts w:hint="eastAsia" w:ascii="宋体" w:hAnsi="宋体" w:cs="Arial"/>
              </w:rPr>
              <w:t>电话：</w:t>
            </w:r>
            <w:r>
              <w:rPr>
                <w:rFonts w:hint="eastAsia" w:ascii="宋体" w:hAnsi="宋体"/>
                <w:u w:val="single"/>
                <w:lang w:bidi="he-IL"/>
              </w:rPr>
              <w:t>0557-2399968</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ind w:right="102"/>
              <w:jc w:val="center"/>
              <w:rPr>
                <w:rFonts w:ascii="宋体" w:hAnsi="宋体" w:cs="Arial"/>
              </w:rPr>
            </w:pPr>
            <w:r>
              <w:rPr>
                <w:rFonts w:hint="eastAsia" w:ascii="宋体" w:hAnsi="宋体" w:cs="Arial"/>
              </w:rPr>
              <w:t>3</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40" w:lineRule="exact"/>
              <w:ind w:left="-3" w:firstLine="3"/>
              <w:rPr>
                <w:rFonts w:ascii="宋体" w:hAnsi="宋体" w:cs="Arial"/>
              </w:rPr>
            </w:pPr>
            <w:r>
              <w:rPr>
                <w:rFonts w:hint="eastAsia" w:ascii="宋体" w:hAnsi="宋体" w:cs="Arial"/>
              </w:rPr>
              <w:t>代理机构：</w:t>
            </w:r>
            <w:r>
              <w:rPr>
                <w:rFonts w:hint="eastAsia" w:ascii="宋体" w:hAnsi="宋体" w:cs="宋体"/>
                <w:kern w:val="0"/>
                <w:lang w:val="zh-CN"/>
              </w:rPr>
              <w:t>宿州骏达工程管理咨询有限公司</w:t>
            </w:r>
          </w:p>
          <w:p>
            <w:pPr>
              <w:spacing w:line="340" w:lineRule="exact"/>
              <w:ind w:left="1887" w:hanging="1887"/>
              <w:rPr>
                <w:rFonts w:ascii="宋体" w:hAnsi="宋体" w:cs="Arial"/>
              </w:rPr>
            </w:pPr>
            <w:r>
              <w:rPr>
                <w:rFonts w:hint="eastAsia" w:ascii="宋体" w:hAnsi="宋体" w:cs="Arial"/>
              </w:rPr>
              <w:t>代理机构地址：</w:t>
            </w:r>
            <w:r>
              <w:rPr>
                <w:rFonts w:hint="eastAsia" w:ascii="宋体" w:hAnsi="宋体" w:cs="宋体"/>
                <w:kern w:val="0"/>
                <w:lang w:val="zh-CN"/>
              </w:rPr>
              <w:t>安徽省宿州市道东南货厂路8号</w:t>
            </w:r>
          </w:p>
          <w:p>
            <w:pPr>
              <w:spacing w:line="340" w:lineRule="exact"/>
              <w:ind w:left="1887" w:hanging="1887"/>
              <w:rPr>
                <w:rFonts w:ascii="宋体" w:hAnsi="宋体" w:cs="Arial"/>
              </w:rPr>
            </w:pPr>
            <w:r>
              <w:rPr>
                <w:rFonts w:hint="eastAsia" w:ascii="宋体" w:hAnsi="宋体" w:cs="Arial"/>
              </w:rPr>
              <w:t>联系人及联系方式：陈工  电话：</w:t>
            </w:r>
            <w:r>
              <w:rPr>
                <w:rFonts w:hint="eastAsia" w:ascii="宋体" w:hAnsi="宋体" w:cs="宋体"/>
                <w:kern w:val="0"/>
                <w:lang w:val="zh-CN"/>
              </w:rPr>
              <w:t>0557-2226958</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4</w:t>
            </w:r>
          </w:p>
        </w:tc>
        <w:tc>
          <w:tcPr>
            <w:tcW w:w="8850" w:type="dxa"/>
            <w:tcBorders>
              <w:top w:val="single" w:color="auto" w:sz="4" w:space="0"/>
              <w:left w:val="single" w:color="auto" w:sz="4" w:space="0"/>
              <w:bottom w:val="single" w:color="auto" w:sz="4" w:space="0"/>
              <w:right w:val="double" w:color="auto" w:sz="2" w:space="0"/>
            </w:tcBorders>
            <w:vAlign w:val="center"/>
          </w:tcPr>
          <w:p>
            <w:pPr>
              <w:pStyle w:val="12"/>
              <w:spacing w:line="360" w:lineRule="auto"/>
              <w:rPr>
                <w:rFonts w:ascii="宋体" w:eastAsia="宋体" w:cs="Arial"/>
                <w:sz w:val="21"/>
                <w:szCs w:val="21"/>
              </w:rPr>
            </w:pPr>
            <w:r>
              <w:rPr>
                <w:rFonts w:hint="eastAsia" w:ascii="宋体" w:eastAsia="宋体" w:cs="Arial"/>
                <w:sz w:val="21"/>
                <w:szCs w:val="21"/>
              </w:rPr>
              <w:t xml:space="preserve">本项目类别：□货物类  </w:t>
            </w:r>
            <w:r>
              <w:rPr>
                <w:rFonts w:hint="eastAsia" w:ascii="宋体" w:eastAsia="宋体" w:cs="Arial"/>
                <w:sz w:val="21"/>
                <w:szCs w:val="21"/>
              </w:rPr>
              <w:sym w:font="Wingdings" w:char="F0FE"/>
            </w:r>
            <w:r>
              <w:rPr>
                <w:rFonts w:hint="eastAsia" w:ascii="宋体" w:eastAsia="宋体" w:cs="Arial"/>
                <w:sz w:val="21"/>
                <w:szCs w:val="21"/>
              </w:rPr>
              <w:t>服务类  □工程类</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5</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60" w:lineRule="auto"/>
              <w:rPr>
                <w:rFonts w:ascii="宋体" w:hAnsi="宋体" w:cs="Arial"/>
              </w:rPr>
            </w:pPr>
            <w:r>
              <w:rPr>
                <w:rFonts w:hint="eastAsia" w:ascii="宋体" w:hAnsi="宋体" w:cs="Arial"/>
              </w:rPr>
              <w:t>采购有效期：磋商开始后60天</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6</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60" w:lineRule="auto"/>
              <w:rPr>
                <w:rFonts w:ascii="宋体" w:hAnsi="宋体" w:cs="Arial"/>
              </w:rPr>
            </w:pPr>
            <w:r>
              <w:rPr>
                <w:rFonts w:hint="eastAsia" w:ascii="宋体" w:hAnsi="宋体" w:cs="Arial"/>
              </w:rPr>
              <w:t xml:space="preserve">成交人个数：1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7</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60" w:lineRule="auto"/>
              <w:rPr>
                <w:rFonts w:ascii="宋体" w:hAnsi="宋体" w:cs="Arial"/>
              </w:rPr>
            </w:pPr>
            <w:r>
              <w:rPr>
                <w:rFonts w:hint="eastAsia" w:ascii="宋体" w:hAnsi="宋体" w:cs="Arial"/>
              </w:rPr>
              <w:t>竞争性磋商文件的澄清和修改：详见第六章供应商须知第11条</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8</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60" w:lineRule="auto"/>
              <w:rPr>
                <w:rFonts w:ascii="宋体" w:hAnsi="宋体" w:cs="Arial"/>
              </w:rPr>
            </w:pPr>
            <w:r>
              <w:rPr>
                <w:rFonts w:hint="eastAsia" w:ascii="宋体" w:hAnsi="宋体" w:cs="Arial"/>
              </w:rPr>
              <w:t>竞争性磋商文件</w:t>
            </w:r>
            <w:r>
              <w:rPr>
                <w:rFonts w:hint="eastAsia" w:ascii="宋体" w:hAnsi="宋体"/>
              </w:rPr>
              <w:t>的质疑和答复：</w:t>
            </w:r>
            <w:r>
              <w:rPr>
                <w:rFonts w:hint="eastAsia" w:ascii="宋体" w:hAnsi="宋体" w:cs="Arial"/>
              </w:rPr>
              <w:t>详见第六章供应商须知第12条</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9</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40" w:lineRule="exact"/>
              <w:rPr>
                <w:rFonts w:ascii="宋体" w:hAnsi="宋体" w:cs="Arial"/>
              </w:rPr>
            </w:pPr>
            <w:r>
              <w:rPr>
                <w:rFonts w:hint="eastAsia" w:ascii="宋体" w:hAnsi="宋体" w:cs="Arial"/>
              </w:rPr>
              <w:t>磋商响应文件递交截止时间：</w:t>
            </w:r>
            <w:r>
              <w:rPr>
                <w:rFonts w:hint="eastAsia" w:ascii="宋体" w:hAnsi="宋体" w:cs="宋体"/>
              </w:rPr>
              <w:t>2019年11月 2</w:t>
            </w:r>
            <w:r>
              <w:rPr>
                <w:rFonts w:hint="eastAsia" w:ascii="宋体" w:hAnsi="宋体" w:cs="宋体"/>
                <w:lang w:val="en-US" w:eastAsia="zh-CN"/>
              </w:rPr>
              <w:t>6</w:t>
            </w:r>
            <w:r>
              <w:rPr>
                <w:rFonts w:hint="eastAsia" w:ascii="宋体" w:hAnsi="宋体" w:cs="宋体"/>
              </w:rPr>
              <w:t>日</w:t>
            </w:r>
            <w:r>
              <w:rPr>
                <w:rFonts w:hint="eastAsia" w:ascii="宋体" w:hAnsi="宋体" w:cs="宋体"/>
                <w:lang w:val="en-US" w:eastAsia="zh-CN"/>
              </w:rPr>
              <w:t>14</w:t>
            </w:r>
            <w:r>
              <w:rPr>
                <w:rFonts w:hint="eastAsia" w:ascii="宋体" w:hAnsi="宋体" w:cs="宋体"/>
              </w:rPr>
              <w:t>时</w:t>
            </w:r>
            <w:r>
              <w:rPr>
                <w:rFonts w:hint="eastAsia" w:ascii="宋体" w:hAnsi="宋体" w:cs="宋体"/>
                <w:lang w:val="en-US" w:eastAsia="zh-CN"/>
              </w:rPr>
              <w:t>3</w:t>
            </w:r>
            <w:r>
              <w:rPr>
                <w:rFonts w:hint="eastAsia" w:ascii="宋体" w:hAnsi="宋体" w:cs="宋体"/>
              </w:rPr>
              <w:t xml:space="preserve">0分 </w:t>
            </w:r>
            <w:r>
              <w:rPr>
                <w:rFonts w:hint="eastAsia" w:ascii="宋体" w:hAnsi="宋体" w:cs="Arial"/>
              </w:rPr>
              <w:t xml:space="preserve">    </w:t>
            </w:r>
          </w:p>
          <w:p>
            <w:pPr>
              <w:spacing w:line="340" w:lineRule="exact"/>
              <w:rPr>
                <w:rFonts w:ascii="宋体" w:hAnsi="宋体" w:cs="Arial"/>
              </w:rPr>
            </w:pPr>
            <w:r>
              <w:rPr>
                <w:rFonts w:hint="eastAsia" w:ascii="宋体" w:hAnsi="宋体" w:cs="Arial"/>
              </w:rPr>
              <w:t>递交地点：</w:t>
            </w:r>
            <w:r>
              <w:rPr>
                <w:rFonts w:ascii="宋体" w:hAnsi="宋体" w:cs="Arial"/>
              </w:rPr>
              <w:t>宿州交通文化旅游投资集团有限公司八楼826会议室</w:t>
            </w:r>
            <w:r>
              <w:rPr>
                <w:rFonts w:hint="eastAsia" w:ascii="宋体" w:hAnsi="宋体" w:cs="Arial"/>
              </w:rPr>
              <w:t>（宿州市产品质量检验检测中心）</w:t>
            </w:r>
            <w:r>
              <w:rPr>
                <w:rFonts w:ascii="宋体" w:hAnsi="宋体" w:cs="Arial"/>
              </w:rPr>
              <w:t xml:space="preserve"> </w:t>
            </w:r>
          </w:p>
          <w:p>
            <w:pPr>
              <w:spacing w:line="340" w:lineRule="exact"/>
              <w:rPr>
                <w:rFonts w:ascii="宋体" w:hAnsi="宋体" w:cs="Arial"/>
              </w:rPr>
            </w:pPr>
            <w:r>
              <w:rPr>
                <w:rFonts w:hint="eastAsia" w:ascii="宋体" w:hAnsi="宋体" w:cs="Arial"/>
              </w:rPr>
              <w:t xml:space="preserve">磋商开始时间： </w:t>
            </w:r>
            <w:r>
              <w:rPr>
                <w:rFonts w:hint="eastAsia" w:ascii="宋体" w:hAnsi="宋体" w:cs="宋体"/>
              </w:rPr>
              <w:t>2019年11月2</w:t>
            </w:r>
            <w:r>
              <w:rPr>
                <w:rFonts w:hint="eastAsia" w:ascii="宋体" w:hAnsi="宋体" w:cs="宋体"/>
                <w:lang w:val="en-US" w:eastAsia="zh-CN"/>
              </w:rPr>
              <w:t>6</w:t>
            </w:r>
            <w:r>
              <w:rPr>
                <w:rFonts w:hint="eastAsia" w:ascii="宋体" w:hAnsi="宋体" w:cs="宋体"/>
              </w:rPr>
              <w:t>日</w:t>
            </w:r>
            <w:r>
              <w:rPr>
                <w:rFonts w:hint="eastAsia" w:ascii="宋体" w:hAnsi="宋体" w:cs="宋体"/>
                <w:lang w:val="en-US" w:eastAsia="zh-CN"/>
              </w:rPr>
              <w:t>14时3</w:t>
            </w:r>
            <w:r>
              <w:rPr>
                <w:rFonts w:hint="eastAsia" w:ascii="宋体" w:hAnsi="宋体" w:cs="宋体"/>
              </w:rPr>
              <w:t xml:space="preserve">0分 </w:t>
            </w:r>
            <w:r>
              <w:rPr>
                <w:rFonts w:hint="eastAsia" w:ascii="宋体" w:hAnsi="宋体" w:cs="Arial"/>
              </w:rPr>
              <w:t xml:space="preserve">  </w:t>
            </w:r>
          </w:p>
          <w:p>
            <w:pPr>
              <w:spacing w:line="440" w:lineRule="exact"/>
              <w:rPr>
                <w:rFonts w:ascii="宋体" w:hAnsi="宋体" w:cs="Arial"/>
              </w:rPr>
            </w:pPr>
            <w:r>
              <w:rPr>
                <w:rFonts w:hint="eastAsia" w:ascii="宋体" w:hAnsi="宋体" w:cs="Arial"/>
              </w:rPr>
              <w:t>磋商地点：</w:t>
            </w:r>
            <w:r>
              <w:rPr>
                <w:rFonts w:ascii="宋体" w:hAnsi="宋体" w:cs="Arial"/>
              </w:rPr>
              <w:t>宿州交通文化旅游投资集团有限公司</w:t>
            </w:r>
            <w:r>
              <w:rPr>
                <w:rFonts w:hint="eastAsia" w:ascii="宋体" w:hAnsi="宋体" w:cs="Arial"/>
              </w:rPr>
              <w:t>评标室（宿州市产品质量检验检测中心）</w:t>
            </w:r>
            <w:r>
              <w:rPr>
                <w:rFonts w:ascii="宋体" w:hAnsi="宋体" w:cs="Arial"/>
              </w:rPr>
              <w:t xml:space="preserve">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10</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60" w:lineRule="auto"/>
              <w:rPr>
                <w:rFonts w:ascii="宋体" w:hAnsi="宋体" w:cs="Arial"/>
              </w:rPr>
            </w:pPr>
            <w:r>
              <w:rPr>
                <w:rFonts w:hint="eastAsia" w:ascii="宋体" w:hAnsi="宋体" w:cs="Arial"/>
              </w:rPr>
              <w:t>评审方法：综合评审法。详见第六章供应商须知第22、23条及本文件第四章、第五章</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11</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60" w:lineRule="auto"/>
              <w:rPr>
                <w:rFonts w:ascii="宋体" w:hAnsi="宋体" w:cs="Arial"/>
              </w:rPr>
            </w:pPr>
            <w:r>
              <w:rPr>
                <w:rFonts w:hint="eastAsia" w:ascii="宋体" w:hAnsi="宋体" w:cs="Arial"/>
              </w:rPr>
              <w:t>交货或服务提供地点：采购人指定地点</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12</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60" w:lineRule="auto"/>
              <w:rPr>
                <w:rFonts w:ascii="宋体" w:hAnsi="宋体" w:cs="Arial"/>
              </w:rPr>
            </w:pPr>
            <w:r>
              <w:rPr>
                <w:rFonts w:hint="eastAsia" w:ascii="宋体" w:hAnsi="宋体" w:cs="Arial"/>
              </w:rPr>
              <w:t>磋商响应文件（纸质文件）份数：</w:t>
            </w:r>
            <w:r>
              <w:rPr>
                <w:rFonts w:hint="eastAsia" w:ascii="宋体" w:hAnsi="宋体" w:cs="Arial"/>
                <w:u w:val="single"/>
              </w:rPr>
              <w:t xml:space="preserve">  一正肆副  </w:t>
            </w:r>
            <w:r>
              <w:rPr>
                <w:rFonts w:hint="eastAsia" w:ascii="宋体" w:hAnsi="宋体" w:cs="Arial"/>
              </w:rPr>
              <w:t>份，装订和封装要求详见本文件第六章第18条；</w:t>
            </w:r>
          </w:p>
          <w:p>
            <w:pPr>
              <w:spacing w:line="360" w:lineRule="auto"/>
              <w:rPr>
                <w:rFonts w:ascii="宋体" w:hAnsi="宋体" w:cs="Arial"/>
              </w:rPr>
            </w:pPr>
            <w:r>
              <w:rPr>
                <w:rFonts w:hint="eastAsia" w:ascii="宋体" w:hAnsi="宋体" w:cs="Arial"/>
              </w:rPr>
              <w:t>除提交的纸质磋商响应文件外，本项目还需递交一份含有电子磋商响应文件的电子u盘</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13</w:t>
            </w:r>
          </w:p>
        </w:tc>
        <w:tc>
          <w:tcPr>
            <w:tcW w:w="8850" w:type="dxa"/>
            <w:tcBorders>
              <w:top w:val="single" w:color="auto" w:sz="4" w:space="0"/>
              <w:left w:val="single" w:color="auto" w:sz="4" w:space="0"/>
              <w:bottom w:val="single" w:color="auto" w:sz="4" w:space="0"/>
              <w:right w:val="double" w:color="auto" w:sz="2" w:space="0"/>
            </w:tcBorders>
            <w:vAlign w:val="center"/>
          </w:tcPr>
          <w:p>
            <w:pPr>
              <w:pStyle w:val="12"/>
              <w:spacing w:line="360" w:lineRule="auto"/>
              <w:rPr>
                <w:rFonts w:ascii="宋体" w:eastAsia="宋体" w:cs="Arial"/>
                <w:sz w:val="21"/>
                <w:szCs w:val="21"/>
              </w:rPr>
            </w:pPr>
            <w:r>
              <w:rPr>
                <w:rFonts w:hint="eastAsia" w:ascii="宋体" w:eastAsia="宋体" w:cs="Arial"/>
                <w:sz w:val="21"/>
                <w:szCs w:val="21"/>
              </w:rPr>
              <w:t>签订合同地点：宿州交通文化旅游投资集团有限公司</w:t>
            </w:r>
          </w:p>
          <w:p>
            <w:pPr>
              <w:rPr>
                <w:rFonts w:ascii="宋体" w:hAnsi="宋体"/>
              </w:rPr>
            </w:pPr>
            <w:r>
              <w:rPr>
                <w:rFonts w:hint="eastAsia" w:ascii="宋体" w:hAnsi="宋体"/>
              </w:rPr>
              <w:t xml:space="preserve">合同期限： 指从合同生效之日起，至双方在合同下的义务履行完毕之日止的期间 </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14</w:t>
            </w:r>
          </w:p>
        </w:tc>
        <w:tc>
          <w:tcPr>
            <w:tcW w:w="8850" w:type="dxa"/>
            <w:tcBorders>
              <w:top w:val="single" w:color="auto" w:sz="4" w:space="0"/>
              <w:left w:val="single" w:color="auto" w:sz="4" w:space="0"/>
              <w:bottom w:val="single" w:color="auto" w:sz="4" w:space="0"/>
              <w:right w:val="double" w:color="auto" w:sz="2" w:space="0"/>
            </w:tcBorders>
            <w:vAlign w:val="center"/>
          </w:tcPr>
          <w:p>
            <w:pPr>
              <w:rPr>
                <w:rFonts w:ascii="宋体" w:hAnsi="宋体"/>
              </w:rPr>
            </w:pPr>
            <w:r>
              <w:rPr>
                <w:rFonts w:hint="eastAsia" w:ascii="宋体" w:hAnsi="宋体" w:cs="Arial"/>
                <w:sz w:val="24"/>
              </w:rPr>
              <w:t>交货日期：</w:t>
            </w:r>
            <w:r>
              <w:rPr>
                <w:rFonts w:hint="eastAsia" w:ascii="宋体" w:hAnsi="宋体" w:cs="宋体"/>
                <w:kern w:val="0"/>
                <w:sz w:val="24"/>
                <w:szCs w:val="24"/>
              </w:rPr>
              <w:t>工期：</w:t>
            </w:r>
            <w:r>
              <w:rPr>
                <w:rFonts w:hint="eastAsia" w:ascii="宋体" w:hAnsi="宋体" w:cs="Arial"/>
                <w:sz w:val="24"/>
                <w:u w:val="single"/>
              </w:rPr>
              <w:t xml:space="preserve"> 60 </w:t>
            </w:r>
            <w:r>
              <w:rPr>
                <w:rFonts w:ascii="宋体" w:hAnsi="宋体" w:cs="宋体"/>
                <w:kern w:val="0"/>
                <w:sz w:val="24"/>
                <w:szCs w:val="24"/>
              </w:rPr>
              <w:t>日</w:t>
            </w:r>
            <w:r>
              <w:rPr>
                <w:rFonts w:hint="eastAsia" w:ascii="宋体" w:hAnsi="宋体" w:cs="宋体"/>
                <w:kern w:val="0"/>
                <w:sz w:val="24"/>
                <w:szCs w:val="24"/>
              </w:rPr>
              <w:t>历天</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15</w:t>
            </w:r>
          </w:p>
        </w:tc>
        <w:tc>
          <w:tcPr>
            <w:tcW w:w="8850" w:type="dxa"/>
            <w:tcBorders>
              <w:top w:val="single" w:color="auto" w:sz="4" w:space="0"/>
              <w:left w:val="single" w:color="auto" w:sz="4" w:space="0"/>
              <w:bottom w:val="single" w:color="auto" w:sz="4" w:space="0"/>
              <w:right w:val="double" w:color="auto" w:sz="2" w:space="0"/>
            </w:tcBorders>
            <w:vAlign w:val="center"/>
          </w:tcPr>
          <w:p>
            <w:pPr>
              <w:spacing w:line="400" w:lineRule="exact"/>
              <w:rPr>
                <w:rFonts w:ascii="宋体" w:hAnsi="宋体" w:cs="Arial"/>
              </w:rPr>
            </w:pPr>
            <w:r>
              <w:rPr>
                <w:rFonts w:hint="eastAsia" w:ascii="宋体" w:hAnsi="宋体" w:cs="Arial"/>
              </w:rPr>
              <w:t>磋商保证金：</w:t>
            </w:r>
            <w:r>
              <w:rPr>
                <w:rFonts w:hint="eastAsia" w:ascii="宋体" w:hAnsi="宋体" w:cs="Arial"/>
                <w:u w:val="single"/>
              </w:rPr>
              <w:t xml:space="preserve"> 1</w:t>
            </w:r>
            <w:r>
              <w:rPr>
                <w:rFonts w:hint="eastAsia" w:ascii="宋体" w:hAnsi="宋体" w:cs="Arial"/>
                <w:u w:val="single"/>
                <w:lang w:val="en-US" w:eastAsia="zh-CN"/>
              </w:rPr>
              <w:t>0</w:t>
            </w:r>
            <w:r>
              <w:rPr>
                <w:rFonts w:hint="eastAsia" w:ascii="宋体" w:hAnsi="宋体" w:cs="Arial"/>
                <w:u w:val="single"/>
              </w:rPr>
              <w:t xml:space="preserve">000 </w:t>
            </w:r>
            <w:r>
              <w:rPr>
                <w:rFonts w:hint="eastAsia" w:ascii="宋体" w:hAnsi="宋体" w:cs="Arial"/>
              </w:rPr>
              <w:t>元。其他具体要求详见竞争性磋商公告。</w:t>
            </w:r>
          </w:p>
          <w:p>
            <w:pPr>
              <w:spacing w:line="400" w:lineRule="exact"/>
              <w:rPr>
                <w:rFonts w:ascii="宋体" w:hAnsi="宋体" w:cs="Arial"/>
              </w:rPr>
            </w:pPr>
            <w:r>
              <w:rPr>
                <w:rFonts w:hint="eastAsia" w:ascii="宋体" w:hAnsi="宋体" w:cs="Arial"/>
              </w:rPr>
              <w:t>磋商响应保证金应在采购有效期截止日后60天内保持有效。</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16</w:t>
            </w:r>
          </w:p>
        </w:tc>
        <w:tc>
          <w:tcPr>
            <w:tcW w:w="8850" w:type="dxa"/>
            <w:tcBorders>
              <w:top w:val="single" w:color="auto" w:sz="4" w:space="0"/>
              <w:left w:val="single" w:color="auto" w:sz="4" w:space="0"/>
              <w:bottom w:val="single" w:color="auto" w:sz="4" w:space="0"/>
              <w:right w:val="double" w:color="auto" w:sz="2" w:space="0"/>
            </w:tcBorders>
            <w:vAlign w:val="center"/>
          </w:tcPr>
          <w:p>
            <w:pPr>
              <w:spacing w:line="340" w:lineRule="exact"/>
              <w:rPr>
                <w:rFonts w:ascii="宋体" w:hAnsi="宋体" w:cs="Arial"/>
              </w:rPr>
            </w:pPr>
            <w:r>
              <w:rPr>
                <w:rFonts w:hint="eastAsia" w:ascii="宋体" w:hAnsi="宋体"/>
              </w:rPr>
              <w:t>公告公示媒介：</w:t>
            </w:r>
            <w:r>
              <w:rPr>
                <w:rFonts w:hint="eastAsia" w:ascii="宋体" w:hAnsi="宋体" w:cs="宋体"/>
              </w:rPr>
              <w:t>宿州交通文化旅游投资集团有限公司网站</w:t>
            </w:r>
            <w:r>
              <w:rPr>
                <w:rFonts w:hint="eastAsia"/>
              </w:rPr>
              <w:t>。</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宋体" w:hAnsi="宋体" w:cs="Arial"/>
              </w:rPr>
            </w:pPr>
            <w:r>
              <w:rPr>
                <w:rFonts w:hint="eastAsia" w:ascii="宋体" w:hAnsi="宋体" w:cs="Arial"/>
              </w:rPr>
              <w:t>17</w:t>
            </w:r>
          </w:p>
        </w:tc>
        <w:tc>
          <w:tcPr>
            <w:tcW w:w="8850" w:type="dxa"/>
            <w:tcBorders>
              <w:top w:val="single" w:color="auto" w:sz="4" w:space="0"/>
              <w:left w:val="single" w:color="auto" w:sz="4" w:space="0"/>
              <w:bottom w:val="single" w:color="auto" w:sz="4" w:space="0"/>
              <w:right w:val="double" w:color="auto" w:sz="2" w:space="0"/>
            </w:tcBorders>
            <w:vAlign w:val="center"/>
          </w:tcPr>
          <w:p>
            <w:pPr>
              <w:pStyle w:val="62"/>
              <w:widowControl w:val="0"/>
              <w:spacing w:line="440" w:lineRule="atLeast"/>
              <w:rPr>
                <w:rFonts w:ascii="宋体" w:hAnsi="宋体" w:cs="Arial"/>
                <w:b/>
                <w:bCs/>
              </w:rPr>
            </w:pPr>
            <w:r>
              <w:rPr>
                <w:rFonts w:hint="eastAsia" w:ascii="宋体" w:hAnsi="宋体" w:cs="Arial"/>
                <w:b/>
                <w:bCs/>
              </w:rPr>
              <w:t>以下费用均由成交人支付，请各供应商报价时综合考虑在报价中：</w:t>
            </w:r>
          </w:p>
          <w:p>
            <w:pPr>
              <w:pStyle w:val="62"/>
              <w:widowControl w:val="0"/>
              <w:spacing w:line="440" w:lineRule="atLeast"/>
              <w:rPr>
                <w:rFonts w:ascii="宋体" w:hAnsi="宋体" w:cs="Arial"/>
                <w:b/>
                <w:bCs/>
              </w:rPr>
            </w:pPr>
            <w:r>
              <w:rPr>
                <w:rFonts w:hint="eastAsia" w:ascii="宋体" w:hAnsi="宋体" w:cs="Arial"/>
                <w:b/>
                <w:bCs/>
              </w:rPr>
              <w:t>1、成交供应商需承担项目招标代理服务费、专家评审费等与开、评标活动相关的费用（收费文件为：国家计委印发的[招标代理服务收费管理暂行办法]（计价格[2002]1980 号）、[国家发展改革委办公厅关于招标代理收费有关问题的通知]（发改价格[2003]857 号）及（发改价格[2011]534号文件）、[安徽省发展改革委关于安徽省评标评审专家劳务费支付标准的指导意见]。以上文件如有新版，以新版为准。</w:t>
            </w:r>
          </w:p>
          <w:p>
            <w:pPr>
              <w:pStyle w:val="62"/>
              <w:spacing w:line="440" w:lineRule="atLeast"/>
              <w:rPr>
                <w:rFonts w:ascii="宋体" w:hAnsi="宋体"/>
                <w:b/>
              </w:rPr>
            </w:pPr>
            <w:r>
              <w:rPr>
                <w:rFonts w:hint="eastAsia" w:ascii="宋体" w:hAnsi="宋体"/>
                <w:b/>
              </w:rPr>
              <w:t xml:space="preserve">2、法定代表人参加投标的应现场提供法定代表人身份证明； </w:t>
            </w:r>
          </w:p>
          <w:p>
            <w:pPr>
              <w:pStyle w:val="62"/>
              <w:widowControl w:val="0"/>
              <w:spacing w:line="440" w:lineRule="atLeast"/>
              <w:rPr>
                <w:rFonts w:ascii="宋体" w:hAnsi="宋体" w:cs="Arial"/>
                <w:b/>
              </w:rPr>
            </w:pPr>
            <w:r>
              <w:rPr>
                <w:rFonts w:hint="eastAsia" w:ascii="宋体" w:hAnsi="宋体"/>
                <w:b/>
              </w:rPr>
              <w:t>3、授权委托代理人参加投标的须现场提供法定代表人授权委托书及本人身份证。</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35" w:type="dxa"/>
            <w:tcBorders>
              <w:top w:val="single" w:color="auto" w:sz="4" w:space="0"/>
              <w:left w:val="double" w:color="auto" w:sz="2" w:space="0"/>
              <w:bottom w:val="double" w:color="auto" w:sz="2" w:space="0"/>
              <w:right w:val="single" w:color="auto" w:sz="4" w:space="0"/>
            </w:tcBorders>
            <w:vAlign w:val="center"/>
          </w:tcPr>
          <w:p>
            <w:pPr>
              <w:spacing w:line="360" w:lineRule="auto"/>
              <w:jc w:val="center"/>
              <w:rPr>
                <w:rFonts w:ascii="宋体" w:hAnsi="宋体" w:cs="Arial"/>
              </w:rPr>
            </w:pPr>
            <w:r>
              <w:rPr>
                <w:rFonts w:hint="eastAsia" w:ascii="宋体" w:hAnsi="宋体" w:cs="Arial"/>
              </w:rPr>
              <w:t>18</w:t>
            </w:r>
          </w:p>
        </w:tc>
        <w:tc>
          <w:tcPr>
            <w:tcW w:w="8850" w:type="dxa"/>
            <w:tcBorders>
              <w:top w:val="single" w:color="auto" w:sz="4" w:space="0"/>
              <w:left w:val="single" w:color="auto" w:sz="4" w:space="0"/>
              <w:bottom w:val="double" w:color="auto" w:sz="2" w:space="0"/>
              <w:right w:val="double" w:color="auto" w:sz="2" w:space="0"/>
            </w:tcBorders>
            <w:vAlign w:val="center"/>
          </w:tcPr>
          <w:p>
            <w:pPr>
              <w:pStyle w:val="62"/>
              <w:spacing w:line="440" w:lineRule="atLeast"/>
              <w:rPr>
                <w:rFonts w:ascii="宋体" w:hAnsi="宋体" w:cs="Arial"/>
                <w:b/>
                <w:bCs/>
              </w:rPr>
            </w:pPr>
            <w:r>
              <w:rPr>
                <w:rFonts w:hint="eastAsia" w:ascii="宋体" w:hAnsi="宋体" w:cs="Arial"/>
                <w:b/>
                <w:bCs/>
              </w:rPr>
              <w:t>其他说明：评磋商过程中，各供应商按签到顺序依次进入评标室进行20到30分钟相关的陈述说明，展示对象为采购人、评标专家小组，只需要陈述一次即可（</w:t>
            </w:r>
            <w:r>
              <w:rPr>
                <w:rFonts w:hint="eastAsia" w:ascii="宋体" w:hAnsi="宋体" w:cs="Arial"/>
                <w:b/>
                <w:bCs/>
                <w:lang w:val="en-US" w:eastAsia="zh-CN"/>
              </w:rPr>
              <w:t>陈述人应为供应商正式职工，</w:t>
            </w:r>
            <w:r>
              <w:rPr>
                <w:rFonts w:hint="eastAsia" w:ascii="宋体" w:hAnsi="宋体" w:cs="Arial"/>
                <w:b/>
                <w:bCs/>
              </w:rPr>
              <w:t>原则上由项目负责人陈述）。</w:t>
            </w:r>
          </w:p>
        </w:tc>
      </w:tr>
    </w:tbl>
    <w:p>
      <w:pPr>
        <w:pStyle w:val="59"/>
        <w:rPr>
          <w:color w:val="auto"/>
        </w:rPr>
      </w:pPr>
      <w:bookmarkStart w:id="22" w:name="_Hlk450145192"/>
      <w:bookmarkEnd w:id="22"/>
      <w:r>
        <w:rPr>
          <w:rFonts w:hint="eastAsia"/>
          <w:color w:val="auto"/>
        </w:rPr>
        <w:br w:type="page"/>
      </w:r>
      <w:bookmarkStart w:id="23" w:name="_Toc511899297"/>
      <w:bookmarkEnd w:id="23"/>
      <w:bookmarkStart w:id="24" w:name="_Toc272218546"/>
      <w:bookmarkStart w:id="25" w:name="_Toc28951"/>
      <w:r>
        <w:rPr>
          <w:rFonts w:hint="eastAsia" w:ascii="黑体"/>
          <w:color w:val="auto"/>
        </w:rPr>
        <w:t>第三章 货物服务要求</w:t>
      </w:r>
      <w:r>
        <w:rPr>
          <w:rFonts w:hint="eastAsia"/>
          <w:color w:val="auto"/>
        </w:rPr>
        <w:t>/</w:t>
      </w:r>
      <w:r>
        <w:rPr>
          <w:rFonts w:hint="eastAsia" w:ascii="黑体"/>
          <w:color w:val="auto"/>
        </w:rPr>
        <w:t>项目要求</w:t>
      </w:r>
      <w:bookmarkEnd w:id="24"/>
      <w:bookmarkEnd w:id="25"/>
      <w:bookmarkStart w:id="26" w:name="_Toc511899298"/>
      <w:bookmarkEnd w:id="26"/>
    </w:p>
    <w:p>
      <w:pPr>
        <w:pStyle w:val="6"/>
      </w:pPr>
      <w:bookmarkStart w:id="27" w:name="_Toc293560326"/>
      <w:bookmarkStart w:id="28" w:name="_Toc20908"/>
      <w:bookmarkStart w:id="29" w:name="_Toc482084458"/>
      <w:bookmarkStart w:id="30" w:name="_Toc16216"/>
      <w:bookmarkStart w:id="31" w:name="_Toc462234311"/>
      <w:r>
        <w:rPr>
          <w:rFonts w:hint="eastAsia"/>
        </w:rPr>
        <w:t>一、服务</w:t>
      </w:r>
      <w:bookmarkEnd w:id="27"/>
      <w:r>
        <w:rPr>
          <w:rFonts w:hint="eastAsia"/>
        </w:rPr>
        <w:t>清单及</w:t>
      </w:r>
      <w:bookmarkEnd w:id="28"/>
      <w:r>
        <w:rPr>
          <w:rFonts w:hint="eastAsia"/>
        </w:rPr>
        <w:t>服务要求</w:t>
      </w:r>
      <w:bookmarkEnd w:id="29"/>
      <w:bookmarkEnd w:id="30"/>
      <w:bookmarkEnd w:id="31"/>
      <w:bookmarkStart w:id="32" w:name="_Toc293560328"/>
      <w:r>
        <w:rPr>
          <w:rFonts w:hint="eastAsia"/>
        </w:rPr>
        <w:t xml:space="preserve"> </w:t>
      </w:r>
    </w:p>
    <w:bookmarkEnd w:id="32"/>
    <w:p>
      <w:pPr>
        <w:spacing w:line="500" w:lineRule="exact"/>
      </w:pPr>
      <w:bookmarkStart w:id="33" w:name="_Toc330805017"/>
      <w:bookmarkStart w:id="34" w:name="_Toc342324883"/>
      <w:bookmarkStart w:id="35" w:name="_Toc341340408"/>
      <w:r>
        <w:rPr>
          <w:rFonts w:hint="eastAsia"/>
        </w:rPr>
        <w:t>（一）技术服务内容：</w:t>
      </w:r>
    </w:p>
    <w:p>
      <w:pPr>
        <w:spacing w:line="500" w:lineRule="exact"/>
      </w:pPr>
      <w:r>
        <w:rPr>
          <w:rFonts w:hint="eastAsia"/>
        </w:rPr>
        <w:t>项目地点：宿州市经开区</w:t>
      </w:r>
    </w:p>
    <w:p>
      <w:pPr>
        <w:spacing w:line="500" w:lineRule="exact"/>
      </w:pPr>
      <w:r>
        <w:rPr>
          <w:rFonts w:hint="eastAsia" w:ascii="宋体" w:hAnsi="宋体"/>
        </w:rPr>
        <w:t>★</w:t>
      </w:r>
      <w:r>
        <w:rPr>
          <w:rFonts w:hint="eastAsia"/>
        </w:rPr>
        <w:t>1、中标供应商负责完成“宿州交通文化旅游投资集团有限公司转型战略规划和内部管控提升方案”的编制；</w:t>
      </w:r>
    </w:p>
    <w:p>
      <w:pPr>
        <w:spacing w:line="500" w:lineRule="exact"/>
      </w:pPr>
      <w:r>
        <w:rPr>
          <w:rFonts w:hint="eastAsia"/>
        </w:rPr>
        <w:t>其中，公司转型战略规划设计咨询和设计服务，具体包括但不限于以下工作：</w:t>
      </w:r>
    </w:p>
    <w:p>
      <w:pPr>
        <w:spacing w:line="500" w:lineRule="exact"/>
      </w:pPr>
      <w:r>
        <w:rPr>
          <w:rFonts w:hint="eastAsia"/>
        </w:rPr>
        <w:t>（1）站在宿州市整体规划的角度，提出宿州交旅集团发展战略规划的背景，通过本发展战略规划的制定与实施，使其能够夯实自身发展基础，使之能够成为真正意义上的“产权明晰、权责分明、政企分开、管理科学”的现代化企业；通过访谈调研及所占有的资料，分析宿州交旅集团的内外部环境现状，制定总体发展战略及项目规划，明确符合宿州交旅集团实际的战略实施步骤、内容及保障，明确宿州交旅集团的五年发展规划目标，为实现宿州交旅集团的可持续发展奠定基础；运用现代管理方式和经营理念，分析做强、做优、做大宿州交旅集团的总体要求和相应匹配的政策空间；采用系统论的科学实用的研究方法进行宿州交旅集团发展战略的研究和规划。</w:t>
      </w:r>
    </w:p>
    <w:p>
      <w:pPr>
        <w:spacing w:line="500" w:lineRule="exact"/>
      </w:pPr>
      <w:r>
        <w:rPr>
          <w:rFonts w:hint="eastAsia"/>
        </w:rPr>
        <w:t>（2）对国家近期密集出台的关于地方政府投融资平台的调控政策、投融资政策、信贷政策、土地政策、房地产政策进行机遇与挑战分析，具体分析如何合理规避政策风险、如何抓住政策带来的机遇，在不可多得的历史性机遇中，将宿州交旅集团做强做优做大；根据宿州市的上位规划，对宿州交旅集团所处的经济环境进行分析；对宿州交旅集团的体制环境进行分析，从政策和经济的层面，主要对“四资”加以阐述。</w:t>
      </w:r>
    </w:p>
    <w:p>
      <w:pPr>
        <w:spacing w:line="500" w:lineRule="exact"/>
      </w:pPr>
      <w:r>
        <w:rPr>
          <w:rFonts w:hint="eastAsia"/>
        </w:rPr>
        <w:t>（3）关于宿州交旅集团总体发展战略，通过国内同类企业的对比分析和借鉴，对宿州交旅集团的职能进行准确的定位并提出战略思路，并制定合理的宿州交旅集团战略目标体系，包括：宿州交旅集团的总体发展目标、经营目标、资产规模目标、体制目标、融资目标、投资目标、产业结构目标等；提出具体的量化目标，如资产结构、公司总资产的年平均增长速度、资产负债率、营业收入年均增长率等；提出阶段性目标，如近期目标、中期目标、远期目标等；制定宿州交旅集团的总体发展战略，选择发展战略方向，充分利用外部环境的机会，充分发掘公司内部的优势资源，以求得公司在现有的战略基础上向更高一级的方向发展。</w:t>
      </w:r>
    </w:p>
    <w:p>
      <w:pPr>
        <w:spacing w:line="500" w:lineRule="exact"/>
      </w:pPr>
      <w:r>
        <w:rPr>
          <w:rFonts w:hint="eastAsia"/>
        </w:rPr>
        <w:t>（4）关于融资战略，设计宿州交旅集团选择融资模式的基本思路，并根据基本思路提出符合宿州交旅集团实际情况的融资模式，积极化解债务风险；关于财务风险控制战略和债务规划方案，根据宿州交旅集团财务的实际情况，制定财务风险控制战略，主要着眼于公司未来持续健康稳定的发展，强化防范财务风险的意识，建立财务预警及风险控制机制；制定宿州交旅集团债务规划方案，要实现两个基本目标：第一，保持宿州交旅集团财务的可持续性；第二，优化宿州交旅集团的资产负债结构，提升企业价值；关于产业板块，公司要做到公益性与经营性相统一，逐步扩展自主经营体系，实现稳定可靠的现金流入；关于国有资产管理战略，应加强国有资产管理的制度建设，建立国有资产产权经营管理体系；关于项目管理，明确与政府的权责关系，明确宿州交旅集团作为资金监管的主体，理顺风险责任归属，利用系统的方法将项目管理按照管理过程细化分解。</w:t>
      </w:r>
    </w:p>
    <w:p>
      <w:pPr>
        <w:spacing w:line="500" w:lineRule="exact"/>
      </w:pPr>
      <w:r>
        <w:rPr>
          <w:rFonts w:hint="eastAsia"/>
        </w:rPr>
        <w:t>（5）关于产业板块战略。为了更好的做好国有资产的管理与经营，通过对宿州交旅集团现有资产的分析，对现有资产进行盘整，明确宿州交旅集团在城市经营中的定位和发展方向，进而提出宿州交旅集团资产经营的方向与实现途径，实现宿州交旅集团的资产价值不断提升、资产结构不断优化；在做好资产经营的基础上，结合宿州交旅集团的五年发展规划目标，提出宿州交旅集团产业发展的主要方向与板块，明确经营范围、构建目的、以及板块关注的重点和思路，最终构建宿州交旅集团产业各大板块的多元发展战略，以打造企业核心竞争力为基础，当前着力于夯实可持续发展的基础，审时度势地稳步推进产业发展战略，最终实现做大做强的目标。</w:t>
      </w:r>
    </w:p>
    <w:p>
      <w:pPr>
        <w:spacing w:line="500" w:lineRule="exact"/>
      </w:pPr>
      <w:r>
        <w:rPr>
          <w:rFonts w:hint="eastAsia"/>
        </w:rPr>
        <w:t>内部管控提升设计咨询和设计服务，具体包括但不限于以下工作：</w:t>
      </w:r>
    </w:p>
    <w:p>
      <w:pPr>
        <w:spacing w:line="500" w:lineRule="exact"/>
      </w:pPr>
      <w:r>
        <w:rPr>
          <w:rFonts w:hint="eastAsia"/>
        </w:rPr>
        <w:t>（1）背景分析。包括分析宿州交旅集团的内外部环境现状，研究做强做优做大宿州交旅集团的总体要求和相应匹配的政策空间；</w:t>
      </w:r>
    </w:p>
    <w:p>
      <w:pPr>
        <w:spacing w:line="500" w:lineRule="exact"/>
      </w:pPr>
      <w:r>
        <w:rPr>
          <w:rFonts w:hint="eastAsia"/>
        </w:rPr>
        <w:t>（2）政策与环境分析。在准确把握宿州交旅集团所处经济环境与体制环境的基础上，分析国家近期密集出台的关于投融资平台的调控政策、投融资政策、信贷政策、土地政策、房地产政策对宿州交旅集团未来发展所带来的机遇与挑战；</w:t>
      </w:r>
    </w:p>
    <w:p>
      <w:pPr>
        <w:spacing w:line="500" w:lineRule="exact"/>
      </w:pPr>
      <w:r>
        <w:rPr>
          <w:rFonts w:hint="eastAsia"/>
        </w:rPr>
        <w:t>（3）调研分析宿州交旅集团及下属子公司，对其组织结构、制度流程、管控模式、权责体系做详细诊断，为建立内部管控体系提供充分依据和支撑；</w:t>
      </w:r>
    </w:p>
    <w:p>
      <w:pPr>
        <w:spacing w:line="500" w:lineRule="exact"/>
      </w:pPr>
      <w:r>
        <w:rPr>
          <w:rFonts w:hint="eastAsia"/>
        </w:rPr>
        <w:t>（4）对宿州交旅集团现有的组织结构进行优化设计，将公司的功能和角色在岗位和部门间体现出来；</w:t>
      </w:r>
    </w:p>
    <w:p>
      <w:pPr>
        <w:spacing w:line="500" w:lineRule="exact"/>
      </w:pPr>
      <w:r>
        <w:rPr>
          <w:rFonts w:hint="eastAsia"/>
        </w:rPr>
        <w:t>（5）通过具体的部门和关键岗位设置，以及职责承担方式的明晰，从而将各项功能和主要职能予以具体落实；</w:t>
      </w:r>
    </w:p>
    <w:p>
      <w:pPr>
        <w:spacing w:line="500" w:lineRule="exact"/>
      </w:pPr>
      <w:r>
        <w:rPr>
          <w:rFonts w:hint="eastAsia"/>
        </w:rPr>
        <w:t>（6）制定宿州交旅集团的部门设置、岗位设置、岗位说明书及各项工作流程；</w:t>
      </w:r>
    </w:p>
    <w:p>
      <w:pPr>
        <w:spacing w:line="500" w:lineRule="exact"/>
      </w:pPr>
      <w:r>
        <w:rPr>
          <w:rFonts w:hint="eastAsia"/>
        </w:rPr>
        <w:t>（7）制定宿州交旅集团的各项内部管理制度；</w:t>
      </w:r>
    </w:p>
    <w:p>
      <w:pPr>
        <w:spacing w:line="500" w:lineRule="exact"/>
      </w:pPr>
      <w:r>
        <w:rPr>
          <w:rFonts w:hint="eastAsia"/>
        </w:rPr>
        <w:t>（8）对各项主要经营管理活动（投融资、经营）中各参与者的责任和权力的界定划分所形成的管理体系；</w:t>
      </w:r>
    </w:p>
    <w:p>
      <w:pPr>
        <w:spacing w:line="500" w:lineRule="exact"/>
      </w:pPr>
      <w:r>
        <w:rPr>
          <w:rFonts w:hint="eastAsia"/>
        </w:rPr>
        <w:t>（9）对宿州交旅集团的核心管理流程（投资发展、融资、资本运营、项目建设）进行重新梳理及流程再造；</w:t>
      </w:r>
    </w:p>
    <w:p>
      <w:pPr>
        <w:spacing w:line="500" w:lineRule="exact"/>
      </w:pPr>
      <w:r>
        <w:rPr>
          <w:rFonts w:hint="eastAsia"/>
        </w:rPr>
        <w:t>（10）制定公司资产管理、经营制度；制定公司资产管理、项目建设管理、公司各项管理等规范性文件、统一各项管理表格，完善集团子公司管理办法。</w:t>
      </w:r>
    </w:p>
    <w:p>
      <w:pPr>
        <w:spacing w:line="500" w:lineRule="exact"/>
      </w:pPr>
      <w:r>
        <w:rPr>
          <w:rFonts w:hint="eastAsia"/>
        </w:rPr>
        <w:t>2、中标供应商对“宿州交通文化旅游投资集团有限公司转型战略规划和内部管控提升方案”负责；</w:t>
      </w:r>
    </w:p>
    <w:p>
      <w:pPr>
        <w:spacing w:line="500" w:lineRule="exact"/>
      </w:pPr>
      <w:r>
        <w:rPr>
          <w:rFonts w:hint="eastAsia"/>
        </w:rPr>
        <w:t>3、中标供应商在接收采购人中标通知书并得到有效设计资料后60个工作日内完成“宿州交通文化旅游投资集团有限公司转型战略规划和内部管控提升方案”（初稿）的编制；</w:t>
      </w:r>
    </w:p>
    <w:p>
      <w:pPr>
        <w:spacing w:line="500" w:lineRule="exact"/>
      </w:pPr>
      <w:r>
        <w:rPr>
          <w:rFonts w:hint="eastAsia" w:ascii="宋体" w:hAnsi="宋体"/>
        </w:rPr>
        <w:t>★</w:t>
      </w:r>
      <w:r>
        <w:rPr>
          <w:rFonts w:hint="eastAsia"/>
        </w:rPr>
        <w:t>4、中标供应商由采购人提出修改意见后10日内提交按意见修改后的“宿州交通文化旅游投资集团有限公司转型战略规划和内部管控制度方案”（终稿）；</w:t>
      </w:r>
    </w:p>
    <w:p>
      <w:pPr>
        <w:spacing w:line="500" w:lineRule="exact"/>
      </w:pPr>
      <w:r>
        <w:rPr>
          <w:rFonts w:hint="eastAsia" w:ascii="宋体" w:hAnsi="宋体"/>
        </w:rPr>
        <w:t>★</w:t>
      </w:r>
      <w:r>
        <w:rPr>
          <w:rFonts w:hint="eastAsia"/>
        </w:rPr>
        <w:t xml:space="preserve">5、中标供应商还需承担本项目方案通过审批所必要的服务工作及采购人要求的与本项目方案相关的服务工作。                                               </w:t>
      </w:r>
      <w:r>
        <w:t xml:space="preserve">                                  </w:t>
      </w:r>
    </w:p>
    <w:bookmarkEnd w:id="33"/>
    <w:bookmarkEnd w:id="34"/>
    <w:bookmarkEnd w:id="35"/>
    <w:p>
      <w:pPr>
        <w:pStyle w:val="65"/>
        <w:spacing w:line="500" w:lineRule="exact"/>
        <w:rPr>
          <w:rFonts w:hAnsi="宋体"/>
        </w:rPr>
      </w:pPr>
      <w:r>
        <w:rPr>
          <w:rFonts w:hint="eastAsia" w:hAnsi="宋体"/>
        </w:rPr>
        <w:t>注：1、</w:t>
      </w:r>
      <w:r>
        <w:rPr>
          <w:rFonts w:hAnsi="宋体"/>
        </w:rPr>
        <w:t>非单一产品采购项目，采购人应当根据采购项目技术构成、产品价格比重等合理确定核心产品，并</w:t>
      </w:r>
      <w:r>
        <w:rPr>
          <w:rFonts w:hint="eastAsia" w:hAnsi="宋体"/>
        </w:rPr>
        <w:t>在招标文件中</w:t>
      </w:r>
      <w:r>
        <w:rPr>
          <w:rFonts w:hAnsi="宋体"/>
        </w:rPr>
        <w:t>载明。</w:t>
      </w:r>
      <w:r>
        <w:rPr>
          <w:rFonts w:hint="eastAsia" w:hAnsi="宋体"/>
        </w:rPr>
        <w:t>如：以上标</w:t>
      </w:r>
      <w:r>
        <w:rPr>
          <w:rFonts w:hint="eastAsia" w:ascii="宋体" w:hAnsi="宋体"/>
        </w:rPr>
        <w:t>★</w:t>
      </w:r>
      <w:r>
        <w:rPr>
          <w:rFonts w:hint="eastAsia" w:hAnsi="宋体"/>
        </w:rPr>
        <w:t>号的为本项目核心产品。</w:t>
      </w:r>
    </w:p>
    <w:p>
      <w:pPr>
        <w:pStyle w:val="65"/>
        <w:spacing w:line="500" w:lineRule="exact"/>
        <w:ind w:firstLine="411" w:firstLineChars="196"/>
        <w:rPr>
          <w:rFonts w:hAnsi="宋体"/>
        </w:rPr>
      </w:pPr>
      <w:r>
        <w:rPr>
          <w:rFonts w:hint="eastAsia" w:hAnsi="宋体"/>
        </w:rPr>
        <w:t>2、采购标的需实现的功能或者目标，以及为落实采购政策需满足的要求；</w:t>
      </w:r>
    </w:p>
    <w:p>
      <w:pPr>
        <w:pStyle w:val="65"/>
        <w:spacing w:line="500" w:lineRule="exact"/>
        <w:ind w:firstLine="411" w:firstLineChars="196"/>
        <w:rPr>
          <w:rFonts w:hAnsi="宋体"/>
        </w:rPr>
      </w:pPr>
      <w:r>
        <w:rPr>
          <w:rFonts w:hint="eastAsia" w:hAnsi="宋体"/>
        </w:rPr>
        <w:t>3、采购标的需执行的国家相关标准、行业标准、地方标准或者其他标准、规范；</w:t>
      </w:r>
    </w:p>
    <w:p>
      <w:pPr>
        <w:pStyle w:val="65"/>
        <w:spacing w:line="500" w:lineRule="exact"/>
        <w:ind w:firstLine="411" w:firstLineChars="196"/>
        <w:rPr>
          <w:rFonts w:hAnsi="宋体"/>
        </w:rPr>
      </w:pPr>
      <w:r>
        <w:rPr>
          <w:rFonts w:hint="eastAsia" w:hAnsi="宋体"/>
        </w:rPr>
        <w:t>4、采购标的需满足的质量、安全、技术规格、物理特性等要求；</w:t>
      </w:r>
    </w:p>
    <w:p>
      <w:pPr>
        <w:pStyle w:val="65"/>
        <w:spacing w:line="500" w:lineRule="exact"/>
        <w:ind w:firstLine="411" w:firstLineChars="196"/>
        <w:rPr>
          <w:rFonts w:hAnsi="宋体"/>
        </w:rPr>
      </w:pPr>
      <w:r>
        <w:rPr>
          <w:rFonts w:hint="eastAsia" w:hAnsi="宋体"/>
        </w:rPr>
        <w:t>5、采购标的的数量、采购项目交付或者实施的时间和地点；</w:t>
      </w:r>
    </w:p>
    <w:p>
      <w:pPr>
        <w:pStyle w:val="65"/>
        <w:spacing w:line="500" w:lineRule="exact"/>
        <w:ind w:firstLine="411" w:firstLineChars="196"/>
        <w:rPr>
          <w:rFonts w:hAnsi="宋体"/>
        </w:rPr>
      </w:pPr>
      <w:r>
        <w:rPr>
          <w:rFonts w:hint="eastAsia" w:hAnsi="宋体"/>
        </w:rPr>
        <w:t>6、采购标的需满足的服务标准、期限、效率等要求；</w:t>
      </w:r>
    </w:p>
    <w:p>
      <w:pPr>
        <w:pStyle w:val="65"/>
        <w:spacing w:line="500" w:lineRule="exact"/>
        <w:ind w:firstLine="411" w:firstLineChars="196"/>
        <w:rPr>
          <w:rFonts w:hAnsi="宋体"/>
        </w:rPr>
      </w:pPr>
      <w:r>
        <w:rPr>
          <w:rFonts w:hint="eastAsia" w:hAnsi="宋体"/>
        </w:rPr>
        <w:t>7、采购标的的验收标准；</w:t>
      </w:r>
    </w:p>
    <w:p>
      <w:pPr>
        <w:pStyle w:val="65"/>
        <w:spacing w:line="500" w:lineRule="exact"/>
        <w:ind w:firstLine="411" w:firstLineChars="196"/>
        <w:rPr>
          <w:rFonts w:hAnsi="宋体"/>
        </w:rPr>
      </w:pPr>
      <w:r>
        <w:rPr>
          <w:rFonts w:hint="eastAsia" w:hAnsi="宋体"/>
        </w:rPr>
        <w:t>8、采购标的的其他技术、服务等要求。</w:t>
      </w:r>
    </w:p>
    <w:p>
      <w:pPr>
        <w:pStyle w:val="2"/>
        <w:spacing w:line="400" w:lineRule="exact"/>
        <w:ind w:left="200" w:leftChars="0" w:firstLineChars="0"/>
        <w:rPr>
          <w:rFonts w:ascii="宋体" w:hAnsi="宋体" w:eastAsia="宋体"/>
          <w:sz w:val="21"/>
        </w:rPr>
      </w:pPr>
    </w:p>
    <w:p>
      <w:pPr>
        <w:pStyle w:val="58"/>
        <w:rPr>
          <w:color w:val="auto"/>
        </w:rPr>
      </w:pPr>
      <w:bookmarkStart w:id="36" w:name="_Toc511899299"/>
      <w:bookmarkEnd w:id="36"/>
      <w:bookmarkStart w:id="37" w:name="_Toc4562"/>
      <w:r>
        <w:rPr>
          <w:rFonts w:hint="eastAsia"/>
          <w:color w:val="auto"/>
        </w:rPr>
        <w:t>二、商务要求</w:t>
      </w:r>
      <w:bookmarkEnd w:id="37"/>
    </w:p>
    <w:p>
      <w:r>
        <w:rPr>
          <w:rFonts w:hint="eastAsia" w:ascii="宋体" w:hAnsi="宋体"/>
        </w:rPr>
        <w:t xml:space="preserve">  </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454"/>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序号</w:t>
            </w:r>
          </w:p>
        </w:tc>
        <w:tc>
          <w:tcPr>
            <w:tcW w:w="1454"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内容</w:t>
            </w:r>
          </w:p>
        </w:tc>
        <w:tc>
          <w:tcPr>
            <w:tcW w:w="6436"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1</w:t>
            </w:r>
          </w:p>
        </w:tc>
        <w:tc>
          <w:tcPr>
            <w:tcW w:w="1454"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交货日期</w:t>
            </w:r>
          </w:p>
        </w:tc>
        <w:tc>
          <w:tcPr>
            <w:tcW w:w="6436" w:type="dxa"/>
            <w:tcBorders>
              <w:top w:val="single" w:color="auto" w:sz="4" w:space="0"/>
              <w:left w:val="nil"/>
              <w:bottom w:val="single" w:color="auto" w:sz="4" w:space="0"/>
              <w:right w:val="single" w:color="auto" w:sz="4" w:space="0"/>
            </w:tcBorders>
            <w:vAlign w:val="center"/>
          </w:tcPr>
          <w:p>
            <w:pPr>
              <w:rPr>
                <w:rFonts w:ascii="宋体" w:hAnsi="宋体"/>
                <w:b/>
                <w:bCs/>
              </w:rPr>
            </w:pPr>
            <w:r>
              <w:rPr>
                <w:rFonts w:hint="eastAsia" w:ascii="宋体" w:hAnsi="宋体"/>
                <w:b/>
                <w:bCs/>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2</w:t>
            </w:r>
          </w:p>
        </w:tc>
        <w:tc>
          <w:tcPr>
            <w:tcW w:w="1454"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供货要求</w:t>
            </w:r>
          </w:p>
        </w:tc>
        <w:tc>
          <w:tcPr>
            <w:tcW w:w="6436" w:type="dxa"/>
            <w:tcBorders>
              <w:top w:val="single" w:color="auto" w:sz="4" w:space="0"/>
              <w:left w:val="nil"/>
              <w:bottom w:val="single" w:color="auto" w:sz="4" w:space="0"/>
              <w:right w:val="single" w:color="auto" w:sz="4" w:space="0"/>
            </w:tcBorders>
          </w:tcPr>
          <w:p>
            <w:pPr>
              <w:rPr>
                <w:rFonts w:ascii="宋体" w:hAnsi="宋体"/>
                <w:b/>
                <w:bCs/>
              </w:rPr>
            </w:pPr>
            <w:r>
              <w:rPr>
                <w:rFonts w:hint="eastAsia" w:hAnsi="宋体"/>
                <w:b/>
              </w:rPr>
              <w:t>从合同签订之日起至本项目方案通过评审，并移交通过审批的《宿州交通文化旅游投资集团有限公司转型战略规划和内部管控提升方案》报告书至采购人为止。</w:t>
            </w:r>
            <w:r>
              <w:rPr>
                <w:rFonts w:hint="eastAsia" w:ascii="宋体" w:hAnsi="宋体" w:cs="宋体"/>
                <w:b/>
                <w:bCs/>
              </w:rPr>
              <w:t xml:space="preserve">（签订合同后根据合同要求完成供货）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3</w:t>
            </w:r>
          </w:p>
        </w:tc>
        <w:tc>
          <w:tcPr>
            <w:tcW w:w="1454"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售后服务</w:t>
            </w:r>
          </w:p>
        </w:tc>
        <w:tc>
          <w:tcPr>
            <w:tcW w:w="6436" w:type="dxa"/>
            <w:tcBorders>
              <w:top w:val="single" w:color="auto" w:sz="4" w:space="0"/>
              <w:left w:val="nil"/>
              <w:bottom w:val="single" w:color="auto" w:sz="4" w:space="0"/>
              <w:right w:val="single" w:color="auto" w:sz="4" w:space="0"/>
            </w:tcBorders>
            <w:vAlign w:val="center"/>
          </w:tcPr>
          <w:p>
            <w:pPr>
              <w:rPr>
                <w:rFonts w:ascii="宋体" w:hAnsi="宋体"/>
                <w:b/>
                <w:bCs/>
              </w:rPr>
            </w:pPr>
            <w:r>
              <w:rPr>
                <w:rFonts w:hint="eastAsia" w:ascii="宋体" w:hAnsi="宋体"/>
                <w:b/>
                <w:bCs/>
                <w:color w:val="0000FF"/>
              </w:rPr>
              <w:t>根据采购人提供的售后计划执行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4</w:t>
            </w:r>
          </w:p>
        </w:tc>
        <w:tc>
          <w:tcPr>
            <w:tcW w:w="1454"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验收</w:t>
            </w:r>
          </w:p>
        </w:tc>
        <w:tc>
          <w:tcPr>
            <w:tcW w:w="6436" w:type="dxa"/>
            <w:tcBorders>
              <w:top w:val="single" w:color="auto" w:sz="4" w:space="0"/>
              <w:left w:val="nil"/>
              <w:bottom w:val="single" w:color="auto" w:sz="4" w:space="0"/>
              <w:right w:val="single" w:color="auto" w:sz="4" w:space="0"/>
            </w:tcBorders>
            <w:vAlign w:val="center"/>
          </w:tcPr>
          <w:p>
            <w:pPr>
              <w:rPr>
                <w:rFonts w:ascii="宋体" w:hAnsi="宋体"/>
                <w:b/>
                <w:bCs/>
              </w:rPr>
            </w:pPr>
            <w:r>
              <w:rPr>
                <w:rFonts w:hint="eastAsia" w:ascii="宋体" w:hAnsi="宋体"/>
                <w:b/>
                <w:bCs/>
              </w:rPr>
              <w:t>由采购人组织验收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5</w:t>
            </w:r>
          </w:p>
        </w:tc>
        <w:tc>
          <w:tcPr>
            <w:tcW w:w="1454"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付款</w:t>
            </w:r>
          </w:p>
        </w:tc>
        <w:tc>
          <w:tcPr>
            <w:tcW w:w="6436" w:type="dxa"/>
            <w:tcBorders>
              <w:top w:val="single" w:color="auto" w:sz="4" w:space="0"/>
              <w:left w:val="nil"/>
              <w:bottom w:val="single" w:color="auto" w:sz="4" w:space="0"/>
              <w:right w:val="single" w:color="auto" w:sz="4" w:space="0"/>
            </w:tcBorders>
          </w:tcPr>
          <w:p>
            <w:pPr>
              <w:rPr>
                <w:rFonts w:ascii="宋体" w:hAnsi="宋体" w:cs="宋体"/>
                <w:b/>
                <w:bCs/>
              </w:rPr>
            </w:pPr>
            <w:r>
              <w:rPr>
                <w:rFonts w:hint="eastAsia" w:ascii="宋体" w:hAnsi="宋体" w:cs="宋体"/>
                <w:b/>
                <w:bCs/>
              </w:rPr>
              <w:t xml:space="preserve">付款人：宿州交通文化旅游投资集团有限公司   </w:t>
            </w:r>
          </w:p>
          <w:p>
            <w:pPr>
              <w:rPr>
                <w:rFonts w:ascii="宋体" w:hAnsi="宋体"/>
                <w:b/>
                <w:bCs/>
              </w:rPr>
            </w:pPr>
            <w:r>
              <w:rPr>
                <w:rFonts w:hint="eastAsia" w:ascii="宋体" w:hAnsi="宋体" w:cs="宋体"/>
                <w:b/>
                <w:bCs/>
              </w:rPr>
              <w:t xml:space="preserve">付款方式：采购人与供应商签订合同且供应商已缴纳履约保证金后，付款至合同总价的30%；经采购部门初审后，认为具备上报主管部门审批的送审稿后，付款至合同总价70%；经主管部门审批同意后，拨付至合同总价的90%；剩余10%自主管部门审批同意一年后付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rPr>
            </w:pPr>
            <w:r>
              <w:rPr>
                <w:rFonts w:hint="eastAsia" w:ascii="宋体" w:hAnsi="宋体"/>
                <w:b/>
                <w:bCs/>
              </w:rPr>
              <w:t>6</w:t>
            </w:r>
          </w:p>
        </w:tc>
        <w:tc>
          <w:tcPr>
            <w:tcW w:w="1454" w:type="dxa"/>
            <w:tcBorders>
              <w:top w:val="single" w:color="auto" w:sz="4" w:space="0"/>
              <w:left w:val="nil"/>
              <w:bottom w:val="single" w:color="auto" w:sz="4" w:space="0"/>
              <w:right w:val="single" w:color="auto" w:sz="4" w:space="0"/>
            </w:tcBorders>
            <w:vAlign w:val="center"/>
          </w:tcPr>
          <w:p>
            <w:pPr>
              <w:jc w:val="center"/>
              <w:rPr>
                <w:rFonts w:ascii="宋体" w:hAnsi="宋体"/>
                <w:b/>
                <w:bCs/>
              </w:rPr>
            </w:pPr>
            <w:r>
              <w:rPr>
                <w:rFonts w:hint="eastAsia" w:ascii="宋体" w:hAnsi="宋体"/>
                <w:b/>
                <w:bCs/>
              </w:rPr>
              <w:t>履约保证金</w:t>
            </w:r>
          </w:p>
        </w:tc>
        <w:tc>
          <w:tcPr>
            <w:tcW w:w="6436" w:type="dxa"/>
            <w:tcBorders>
              <w:top w:val="single" w:color="auto" w:sz="4" w:space="0"/>
              <w:left w:val="nil"/>
              <w:bottom w:val="single" w:color="auto" w:sz="4" w:space="0"/>
              <w:right w:val="single" w:color="auto" w:sz="4" w:space="0"/>
            </w:tcBorders>
          </w:tcPr>
          <w:p>
            <w:pPr>
              <w:rPr>
                <w:rFonts w:ascii="宋体" w:hAnsi="宋体"/>
                <w:b/>
                <w:bCs/>
              </w:rPr>
            </w:pPr>
            <w:r>
              <w:rPr>
                <w:rFonts w:hint="eastAsia" w:ascii="宋体" w:hAnsi="宋体"/>
                <w:b/>
                <w:bCs/>
              </w:rPr>
              <w:t>领取中标通知书后，签订合同前向采购人缴纳合同额的</w:t>
            </w:r>
            <w:r>
              <w:rPr>
                <w:rFonts w:hint="eastAsia" w:ascii="宋体" w:hAnsi="宋体"/>
                <w:b/>
                <w:bCs/>
                <w:lang w:val="en-US" w:eastAsia="zh-CN"/>
              </w:rPr>
              <w:t>5</w:t>
            </w:r>
            <w:r>
              <w:rPr>
                <w:rFonts w:hint="eastAsia" w:ascii="宋体" w:hAnsi="宋体"/>
                <w:b/>
                <w:bCs/>
              </w:rPr>
              <w:t>%作为履约担保（转账或电汇）。</w:t>
            </w:r>
          </w:p>
        </w:tc>
      </w:tr>
    </w:tbl>
    <w:p>
      <w:r>
        <w:rPr>
          <w:rFonts w:hint="eastAsia" w:ascii="宋体" w:hAnsi="宋体"/>
        </w:rPr>
        <w:t xml:space="preserve">  </w:t>
      </w:r>
    </w:p>
    <w:p>
      <w:pPr>
        <w:pStyle w:val="59"/>
        <w:rPr>
          <w:color w:val="auto"/>
        </w:rPr>
      </w:pPr>
      <w:r>
        <w:rPr>
          <w:rFonts w:hint="eastAsia"/>
          <w:color w:val="auto"/>
        </w:rPr>
        <w:br w:type="page"/>
      </w:r>
      <w:bookmarkStart w:id="38" w:name="_Toc511899300"/>
      <w:bookmarkEnd w:id="38"/>
      <w:bookmarkStart w:id="39" w:name="_Toc21102"/>
      <w:r>
        <w:rPr>
          <w:rFonts w:hint="eastAsia" w:ascii="黑体"/>
          <w:color w:val="auto"/>
        </w:rPr>
        <w:t>第四章</w:t>
      </w:r>
      <w:r>
        <w:rPr>
          <w:rFonts w:hint="eastAsia"/>
          <w:color w:val="auto"/>
        </w:rPr>
        <w:t xml:space="preserve"> </w:t>
      </w:r>
      <w:r>
        <w:rPr>
          <w:rFonts w:hint="eastAsia" w:ascii="黑体"/>
          <w:color w:val="auto"/>
        </w:rPr>
        <w:t>实质性响应审查</w:t>
      </w:r>
      <w:bookmarkEnd w:id="39"/>
    </w:p>
    <w:p>
      <w:pPr>
        <w:pStyle w:val="58"/>
        <w:rPr>
          <w:color w:val="auto"/>
          <w:sz w:val="30"/>
          <w:szCs w:val="30"/>
        </w:rPr>
      </w:pPr>
      <w:bookmarkStart w:id="40" w:name="_Toc511899301"/>
      <w:bookmarkEnd w:id="40"/>
      <w:bookmarkStart w:id="41" w:name="_Toc22847"/>
      <w:r>
        <w:rPr>
          <w:rFonts w:hint="eastAsia"/>
          <w:color w:val="auto"/>
          <w:sz w:val="30"/>
          <w:szCs w:val="30"/>
        </w:rPr>
        <w:t>一、资格性审查表</w:t>
      </w:r>
      <w:bookmarkEnd w:id="41"/>
    </w:p>
    <w:tbl>
      <w:tblPr>
        <w:tblStyle w:val="24"/>
        <w:tblpPr w:leftFromText="180" w:rightFromText="180" w:vertAnchor="text" w:horzAnchor="page" w:tblpX="1225" w:tblpY="310"/>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10"/>
        <w:gridCol w:w="390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b/>
                <w:bCs/>
              </w:rPr>
            </w:pPr>
            <w:r>
              <w:rPr>
                <w:rFonts w:hint="eastAsia" w:ascii="宋体" w:hAnsi="宋体"/>
                <w:b/>
                <w:bCs/>
              </w:rPr>
              <w:t>序号</w:t>
            </w:r>
          </w:p>
        </w:tc>
        <w:tc>
          <w:tcPr>
            <w:tcW w:w="231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b/>
                <w:bCs/>
              </w:rPr>
            </w:pPr>
            <w:r>
              <w:rPr>
                <w:rFonts w:hint="eastAsia" w:ascii="宋体" w:hAnsi="宋体"/>
                <w:b/>
                <w:bCs/>
              </w:rPr>
              <w:t>指标名称</w:t>
            </w:r>
          </w:p>
        </w:tc>
        <w:tc>
          <w:tcPr>
            <w:tcW w:w="390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center"/>
              <w:rPr>
                <w:rFonts w:ascii="宋体" w:hAnsi="宋体"/>
                <w:b/>
                <w:bCs/>
              </w:rPr>
            </w:pPr>
            <w:r>
              <w:rPr>
                <w:rFonts w:hint="eastAsia" w:ascii="宋体" w:hAnsi="宋体"/>
                <w:b/>
                <w:bCs/>
              </w:rPr>
              <w:t>指标要求</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center"/>
              <w:rPr>
                <w:rFonts w:ascii="宋体" w:hAnsi="宋体"/>
                <w:b/>
                <w:bCs/>
              </w:rPr>
            </w:pPr>
            <w:r>
              <w:rPr>
                <w:rFonts w:hint="eastAsia" w:ascii="宋体" w:hAnsi="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1</w:t>
            </w:r>
          </w:p>
        </w:tc>
        <w:tc>
          <w:tcPr>
            <w:tcW w:w="231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营业执照</w:t>
            </w:r>
          </w:p>
        </w:tc>
        <w:tc>
          <w:tcPr>
            <w:tcW w:w="390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合法有效，符合磋商文件第一章供应商资格要求,经营范围须具有咨询服务等相关业务范围</w:t>
            </w:r>
          </w:p>
        </w:tc>
        <w:tc>
          <w:tcPr>
            <w:tcW w:w="2655" w:type="dxa"/>
            <w:vMerge w:val="restart"/>
            <w:tcBorders>
              <w:left w:val="nil"/>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提供有效的营业执照和税务登记证的（接受合一的证书），</w:t>
            </w:r>
            <w:r>
              <w:rPr>
                <w:rFonts w:hint="eastAsia" w:ascii="宋体" w:hAnsi="宋体"/>
                <w:b/>
                <w:bCs/>
              </w:rPr>
              <w:t>应完整的体现出营业执照和税务登记证的全部内容。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2</w:t>
            </w:r>
          </w:p>
        </w:tc>
        <w:tc>
          <w:tcPr>
            <w:tcW w:w="231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税务登记证</w:t>
            </w:r>
          </w:p>
        </w:tc>
        <w:tc>
          <w:tcPr>
            <w:tcW w:w="390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合法有效</w:t>
            </w:r>
          </w:p>
        </w:tc>
        <w:tc>
          <w:tcPr>
            <w:tcW w:w="2655" w:type="dxa"/>
            <w:vMerge w:val="continue"/>
            <w:tcBorders>
              <w:top w:val="nil"/>
              <w:left w:val="nil"/>
              <w:bottom w:val="single" w:color="auto" w:sz="4" w:space="0"/>
              <w:right w:val="single" w:color="auto" w:sz="4" w:space="0"/>
            </w:tcBorders>
            <w:vAlign w:val="center"/>
          </w:tcPr>
          <w:p>
            <w:pPr>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3</w:t>
            </w:r>
          </w:p>
        </w:tc>
        <w:tc>
          <w:tcPr>
            <w:tcW w:w="231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rPr>
            </w:pPr>
            <w:r>
              <w:rPr>
                <w:rFonts w:hint="eastAsia" w:ascii="宋体" w:hAnsi="宋体"/>
              </w:rPr>
              <w:t>财务状况报告</w:t>
            </w:r>
          </w:p>
        </w:tc>
        <w:tc>
          <w:tcPr>
            <w:tcW w:w="390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rPr>
            </w:pPr>
            <w:r>
              <w:rPr>
                <w:rFonts w:hint="eastAsia" w:ascii="宋体" w:hAnsi="宋体"/>
              </w:rPr>
              <w:t>需提供上一年度或近期的财务报表﹝至少包含资产负债表和</w:t>
            </w:r>
            <w:r>
              <w:rPr>
                <w:rFonts w:ascii="宋体" w:hAnsi="宋体"/>
              </w:rPr>
              <w:t>损益表</w:t>
            </w:r>
            <w:r>
              <w:rPr>
                <w:rFonts w:hint="eastAsia" w:ascii="宋体" w:hAnsi="宋体"/>
              </w:rPr>
              <w:t>﹞</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left"/>
              <w:rPr>
                <w:rFonts w:ascii="宋体" w:hAnsi="宋体"/>
              </w:rPr>
            </w:pPr>
            <w:r>
              <w:rPr>
                <w:rFonts w:hint="eastAsia" w:ascii="宋体" w:hAnsi="宋体"/>
              </w:rPr>
              <w:t xml:space="preserve"> </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4</w:t>
            </w:r>
          </w:p>
        </w:tc>
        <w:tc>
          <w:tcPr>
            <w:tcW w:w="2310" w:type="dxa"/>
            <w:tcBorders>
              <w:top w:val="single" w:color="auto" w:sz="4" w:space="0"/>
              <w:left w:val="nil"/>
              <w:bottom w:val="single" w:color="auto" w:sz="4" w:space="0"/>
              <w:right w:val="single" w:color="auto" w:sz="4" w:space="0"/>
            </w:tcBorders>
            <w:vAlign w:val="center"/>
          </w:tcPr>
          <w:p>
            <w:pPr>
              <w:ind w:right="-11"/>
              <w:jc w:val="center"/>
              <w:rPr>
                <w:rFonts w:ascii="宋体" w:hAnsi="宋体"/>
              </w:rPr>
            </w:pPr>
            <w:r>
              <w:rPr>
                <w:rFonts w:hint="eastAsia" w:ascii="宋体" w:hAnsi="宋体"/>
              </w:rPr>
              <w:t>依法缴纳税收的相关材料</w:t>
            </w:r>
          </w:p>
        </w:tc>
        <w:tc>
          <w:tcPr>
            <w:tcW w:w="390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rPr>
            </w:pPr>
            <w:r>
              <w:rPr>
                <w:rFonts w:hint="eastAsia" w:ascii="宋体" w:hAnsi="宋体"/>
              </w:rPr>
              <w:t>近期纳税相关材料</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left"/>
              <w:rPr>
                <w:rFonts w:ascii="宋体" w:hAnsi="宋体"/>
              </w:rPr>
            </w:pPr>
            <w:r>
              <w:rPr>
                <w:rFonts w:hint="eastAsia" w:ascii="宋体" w:hAnsi="宋体"/>
              </w:rPr>
              <w:t xml:space="preserve"> </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5</w:t>
            </w:r>
          </w:p>
        </w:tc>
        <w:tc>
          <w:tcPr>
            <w:tcW w:w="2310" w:type="dxa"/>
            <w:tcBorders>
              <w:top w:val="single" w:color="auto" w:sz="4" w:space="0"/>
              <w:left w:val="nil"/>
              <w:bottom w:val="single" w:color="auto" w:sz="4" w:space="0"/>
              <w:right w:val="single" w:color="auto" w:sz="4" w:space="0"/>
            </w:tcBorders>
            <w:vAlign w:val="center"/>
          </w:tcPr>
          <w:p>
            <w:pPr>
              <w:spacing w:line="360" w:lineRule="exact"/>
              <w:ind w:right="-11"/>
              <w:jc w:val="center"/>
              <w:rPr>
                <w:rFonts w:ascii="宋体" w:hAnsi="宋体"/>
                <w:color w:val="auto"/>
              </w:rPr>
            </w:pPr>
            <w:r>
              <w:rPr>
                <w:rFonts w:hint="eastAsia" w:ascii="宋体" w:hAnsi="宋体"/>
                <w:color w:val="auto"/>
              </w:rPr>
              <w:t>依法缴纳社会保障资金的相关材料</w:t>
            </w:r>
          </w:p>
        </w:tc>
        <w:tc>
          <w:tcPr>
            <w:tcW w:w="390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color w:val="auto"/>
              </w:rPr>
            </w:pPr>
            <w:r>
              <w:rPr>
                <w:rFonts w:hint="eastAsia" w:ascii="宋体" w:hAnsi="宋体"/>
                <w:color w:val="auto"/>
              </w:rPr>
              <w:t>项目负责人需提供近6个月的社保证明</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left"/>
              <w:rPr>
                <w:rFonts w:ascii="宋体" w:hAnsi="宋体"/>
              </w:rPr>
            </w:pPr>
            <w:r>
              <w:rPr>
                <w:rFonts w:hint="eastAsia" w:ascii="宋体" w:hAnsi="宋体"/>
              </w:rPr>
              <w:t xml:space="preserve"> </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6</w:t>
            </w:r>
          </w:p>
        </w:tc>
        <w:tc>
          <w:tcPr>
            <w:tcW w:w="2310" w:type="dxa"/>
            <w:tcBorders>
              <w:top w:val="single" w:color="auto" w:sz="4" w:space="0"/>
              <w:left w:val="nil"/>
              <w:bottom w:val="single" w:color="auto" w:sz="4" w:space="0"/>
              <w:right w:val="single" w:color="auto" w:sz="4" w:space="0"/>
            </w:tcBorders>
            <w:vAlign w:val="center"/>
          </w:tcPr>
          <w:p>
            <w:pPr>
              <w:spacing w:line="360" w:lineRule="exact"/>
              <w:ind w:right="-11"/>
              <w:jc w:val="center"/>
              <w:rPr>
                <w:rFonts w:ascii="宋体" w:hAnsi="宋体"/>
              </w:rPr>
            </w:pPr>
            <w:r>
              <w:rPr>
                <w:rFonts w:hint="eastAsia" w:ascii="宋体" w:hAnsi="宋体"/>
              </w:rPr>
              <w:t>具备履行合同所必须的设备和专业技术能力的证明材料</w:t>
            </w:r>
          </w:p>
        </w:tc>
        <w:tc>
          <w:tcPr>
            <w:tcW w:w="390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rPr>
            </w:pPr>
            <w:r>
              <w:rPr>
                <w:rFonts w:hint="eastAsia" w:ascii="宋体" w:hAnsi="宋体"/>
              </w:rPr>
              <w:t>如场所照片或技术人员名单</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lef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7</w:t>
            </w:r>
          </w:p>
        </w:tc>
        <w:tc>
          <w:tcPr>
            <w:tcW w:w="231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rPr>
            </w:pPr>
            <w:r>
              <w:rPr>
                <w:rFonts w:hint="eastAsia" w:ascii="宋体" w:hAnsi="宋体"/>
              </w:rPr>
              <w:t>3年内没有重大违法记录或期限已届满的书面声明</w:t>
            </w:r>
          </w:p>
        </w:tc>
        <w:tc>
          <w:tcPr>
            <w:tcW w:w="3900" w:type="dxa"/>
            <w:tcBorders>
              <w:top w:val="single" w:color="auto" w:sz="4" w:space="0"/>
              <w:left w:val="nil"/>
              <w:bottom w:val="single" w:color="auto" w:sz="4" w:space="0"/>
              <w:right w:val="single" w:color="auto" w:sz="4" w:space="0"/>
            </w:tcBorders>
            <w:vAlign w:val="center"/>
          </w:tcPr>
          <w:p>
            <w:pPr>
              <w:spacing w:line="400" w:lineRule="exact"/>
              <w:ind w:right="-11"/>
              <w:jc w:val="center"/>
              <w:rPr>
                <w:rFonts w:ascii="宋体" w:hAnsi="宋体"/>
              </w:rPr>
            </w:pPr>
            <w:r>
              <w:rPr>
                <w:rFonts w:hint="eastAsia" w:ascii="宋体" w:hAnsi="宋体"/>
              </w:rPr>
              <w:t>参加政府采购活动前3年内在经营活动中没有重大违法记录或因违法经营被禁止在一定期限内参加政府采购活动但期限已届满的书面声明</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供应商自行出具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8</w:t>
            </w:r>
          </w:p>
        </w:tc>
        <w:tc>
          <w:tcPr>
            <w:tcW w:w="231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rPr>
            </w:pPr>
            <w:r>
              <w:rPr>
                <w:rFonts w:hint="eastAsia" w:ascii="宋体" w:hAnsi="宋体"/>
              </w:rPr>
              <w:t>不良行为记录</w:t>
            </w:r>
          </w:p>
        </w:tc>
        <w:tc>
          <w:tcPr>
            <w:tcW w:w="3900" w:type="dxa"/>
            <w:tcBorders>
              <w:top w:val="single" w:color="auto" w:sz="4" w:space="0"/>
              <w:left w:val="nil"/>
              <w:bottom w:val="single" w:color="auto" w:sz="4" w:space="0"/>
              <w:right w:val="single" w:color="auto" w:sz="4" w:space="0"/>
            </w:tcBorders>
            <w:vAlign w:val="center"/>
          </w:tcPr>
          <w:p>
            <w:pPr>
              <w:spacing w:line="400" w:lineRule="exact"/>
              <w:ind w:right="-11"/>
              <w:jc w:val="center"/>
              <w:rPr>
                <w:rFonts w:ascii="宋体" w:hAnsi="宋体"/>
              </w:rPr>
            </w:pPr>
            <w:r>
              <w:rPr>
                <w:rFonts w:hint="eastAsia" w:ascii="宋体" w:hAnsi="宋体"/>
              </w:rPr>
              <w:t>符合磋商公告第二条第3款的要求</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登陆该款载明的网站查询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9</w:t>
            </w:r>
          </w:p>
        </w:tc>
        <w:tc>
          <w:tcPr>
            <w:tcW w:w="23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cs="宋体"/>
              </w:rPr>
              <w:t>企业业绩</w:t>
            </w:r>
          </w:p>
        </w:tc>
        <w:tc>
          <w:tcPr>
            <w:tcW w:w="3900" w:type="dxa"/>
            <w:tcBorders>
              <w:top w:val="single" w:color="auto" w:sz="4" w:space="0"/>
              <w:left w:val="nil"/>
              <w:bottom w:val="single" w:color="auto" w:sz="4" w:space="0"/>
              <w:right w:val="single" w:color="auto" w:sz="4" w:space="0"/>
            </w:tcBorders>
            <w:vAlign w:val="center"/>
          </w:tcPr>
          <w:p>
            <w:pPr>
              <w:spacing w:line="400" w:lineRule="exact"/>
              <w:ind w:right="-11"/>
              <w:jc w:val="center"/>
              <w:rPr>
                <w:rFonts w:ascii="宋体" w:hAnsi="宋体"/>
              </w:rPr>
            </w:pPr>
            <w:r>
              <w:rPr>
                <w:rFonts w:hint="eastAsia" w:ascii="宋体" w:hAnsi="宋体"/>
                <w:color w:val="FF0000"/>
              </w:rPr>
              <w:t>需具有类似项目操作经验，并提供业绩证明。（需提供2016年1月1日至今至少一项与投资运营公司签订的类似业务的咨询合同原件，时间以签订合同时间为准）</w:t>
            </w:r>
          </w:p>
        </w:tc>
        <w:tc>
          <w:tcPr>
            <w:tcW w:w="2655" w:type="dxa"/>
            <w:tcBorders>
              <w:top w:val="single" w:color="auto" w:sz="4" w:space="0"/>
              <w:left w:val="nil"/>
              <w:bottom w:val="single" w:color="auto" w:sz="4" w:space="0"/>
              <w:right w:val="single" w:color="auto" w:sz="4" w:space="0"/>
            </w:tcBorders>
            <w:vAlign w:val="center"/>
          </w:tcPr>
          <w:p>
            <w:pPr>
              <w:spacing w:line="400" w:lineRule="exact"/>
              <w:ind w:right="-11"/>
              <w:jc w:val="center"/>
              <w:rPr>
                <w:rFonts w:ascii="宋体" w:hAnsi="宋体"/>
              </w:rPr>
            </w:pPr>
            <w:r>
              <w:rPr>
                <w:rFonts w:hint="eastAsia" w:ascii="宋体" w:hAnsi="宋体"/>
                <w:color w:val="FF0000"/>
              </w:rPr>
              <w:t>供应商必须熟悉投资运营公司及国内经济发展情况，有对投资运营公司完成过内部管控提升方案和转型升级咨询的丰富经验，并提供合同以及委托方联系方式。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10</w:t>
            </w:r>
          </w:p>
        </w:tc>
        <w:tc>
          <w:tcPr>
            <w:tcW w:w="231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cs="宋体"/>
              </w:rPr>
              <w:t>供应商或其法定代表人或拟派项目经理（项目负责人）未被列入行贿犯罪档案的；</w:t>
            </w:r>
          </w:p>
        </w:tc>
        <w:tc>
          <w:tcPr>
            <w:tcW w:w="390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供应商或其法定代表人或</w:t>
            </w:r>
            <w:r>
              <w:rPr>
                <w:rFonts w:hint="eastAsia" w:ascii="宋体" w:hAnsi="宋体" w:cs="宋体"/>
              </w:rPr>
              <w:t>拟派项目经理（项目负责人）未</w:t>
            </w:r>
            <w:r>
              <w:rPr>
                <w:rFonts w:hint="eastAsia" w:ascii="宋体" w:hAnsi="宋体"/>
              </w:rPr>
              <w:t>被列入行贿犯罪档案的；[供应商须提供《无行贿犯罪行为承诺函》]</w:t>
            </w:r>
          </w:p>
        </w:tc>
        <w:tc>
          <w:tcPr>
            <w:tcW w:w="2655" w:type="dxa"/>
            <w:tcBorders>
              <w:top w:val="single" w:color="auto" w:sz="4" w:space="0"/>
              <w:left w:val="nil"/>
              <w:bottom w:val="single" w:color="auto" w:sz="4" w:space="0"/>
              <w:right w:val="single" w:color="auto" w:sz="4" w:space="0"/>
            </w:tcBorders>
            <w:vAlign w:val="center"/>
          </w:tcPr>
          <w:p>
            <w:pPr>
              <w:spacing w:after="50" w:line="360" w:lineRule="auto"/>
              <w:ind w:right="-10"/>
              <w:jc w:val="left"/>
              <w:rPr>
                <w:rFonts w:ascii="宋体" w:hAnsi="宋体"/>
              </w:rPr>
            </w:pPr>
            <w:r>
              <w:rPr>
                <w:rFonts w:hint="eastAsia" w:ascii="宋体" w:hAnsi="宋体"/>
              </w:rPr>
              <w:t>供应商自行提供承诺函并加盖公章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11</w:t>
            </w:r>
          </w:p>
        </w:tc>
        <w:tc>
          <w:tcPr>
            <w:tcW w:w="231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磋商保证金</w:t>
            </w:r>
          </w:p>
        </w:tc>
        <w:tc>
          <w:tcPr>
            <w:tcW w:w="390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符合磋商文件第二章第十五项要求</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lef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8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12</w:t>
            </w:r>
          </w:p>
        </w:tc>
        <w:tc>
          <w:tcPr>
            <w:tcW w:w="231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法定代表人授权委托书和身份证明书</w:t>
            </w:r>
          </w:p>
        </w:tc>
        <w:tc>
          <w:tcPr>
            <w:tcW w:w="3900" w:type="dxa"/>
            <w:tcBorders>
              <w:top w:val="single" w:color="auto" w:sz="4" w:space="0"/>
              <w:left w:val="nil"/>
              <w:bottom w:val="single" w:color="auto" w:sz="4" w:space="0"/>
              <w:right w:val="single" w:color="auto" w:sz="4" w:space="0"/>
            </w:tcBorders>
            <w:vAlign w:val="center"/>
          </w:tcPr>
          <w:p>
            <w:pPr>
              <w:spacing w:after="50" w:line="360" w:lineRule="auto"/>
              <w:ind w:right="-10"/>
              <w:jc w:val="center"/>
              <w:rPr>
                <w:rFonts w:ascii="宋体" w:hAnsi="宋体"/>
              </w:rPr>
            </w:pPr>
            <w:r>
              <w:rPr>
                <w:rFonts w:hint="eastAsia" w:ascii="宋体" w:hAnsi="宋体"/>
              </w:rPr>
              <w:t>提供原件，符合磋商文件要求</w:t>
            </w:r>
          </w:p>
        </w:tc>
        <w:tc>
          <w:tcPr>
            <w:tcW w:w="265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法人代表参加磋商的无需授权委托书，提供身份证明书即可</w:t>
            </w:r>
          </w:p>
        </w:tc>
      </w:tr>
    </w:tbl>
    <w:p>
      <w:pPr>
        <w:rPr>
          <w:rFonts w:ascii="宋体" w:hAnsi="宋体"/>
        </w:rPr>
      </w:pPr>
      <w:r>
        <w:rPr>
          <w:rFonts w:hint="eastAsia" w:ascii="宋体" w:hAnsi="宋体"/>
        </w:rPr>
        <w:t xml:space="preserve">  </w:t>
      </w:r>
    </w:p>
    <w:p>
      <w:pPr>
        <w:pStyle w:val="63"/>
        <w:ind w:firstLine="0" w:firstLineChars="0"/>
        <w:rPr>
          <w:rFonts w:ascii="宋体" w:hAnsi="宋体"/>
        </w:rPr>
      </w:pPr>
      <w:r>
        <w:rPr>
          <w:rFonts w:hint="eastAsia" w:ascii="宋体" w:hAnsi="宋体"/>
        </w:rPr>
        <w:t xml:space="preserve">     </w:t>
      </w:r>
    </w:p>
    <w:p>
      <w:pPr>
        <w:pStyle w:val="58"/>
        <w:rPr>
          <w:color w:val="auto"/>
        </w:rPr>
      </w:pPr>
      <w:r>
        <w:rPr>
          <w:rFonts w:hint="eastAsia"/>
          <w:color w:val="auto"/>
        </w:rPr>
        <w:br w:type="page"/>
      </w:r>
      <w:bookmarkStart w:id="42" w:name="_Toc511899302"/>
      <w:bookmarkEnd w:id="42"/>
      <w:bookmarkStart w:id="43" w:name="_Toc28756"/>
      <w:r>
        <w:rPr>
          <w:rFonts w:hint="eastAsia"/>
          <w:color w:val="auto"/>
        </w:rPr>
        <w:t>二、符合性审查表</w:t>
      </w:r>
      <w:bookmarkEnd w:id="43"/>
    </w:p>
    <w:tbl>
      <w:tblPr>
        <w:tblStyle w:val="24"/>
        <w:tblW w:w="87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4"/>
        <w:gridCol w:w="399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序号</w:t>
            </w:r>
          </w:p>
        </w:tc>
        <w:tc>
          <w:tcPr>
            <w:tcW w:w="251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指标名称</w:t>
            </w:r>
          </w:p>
        </w:tc>
        <w:tc>
          <w:tcPr>
            <w:tcW w:w="3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指标要求</w:t>
            </w:r>
          </w:p>
        </w:tc>
        <w:tc>
          <w:tcPr>
            <w:tcW w:w="153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1</w:t>
            </w:r>
          </w:p>
        </w:tc>
        <w:tc>
          <w:tcPr>
            <w:tcW w:w="251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技术要求响应情况</w:t>
            </w:r>
          </w:p>
        </w:tc>
        <w:tc>
          <w:tcPr>
            <w:tcW w:w="39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符合磋商文件第三章第一项要求</w:t>
            </w:r>
          </w:p>
        </w:tc>
        <w:tc>
          <w:tcPr>
            <w:tcW w:w="153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r>
              <w:rPr>
                <w:rFonts w:hint="eastAsia" w:ascii="宋体" w:hAnsi="宋体"/>
              </w:rPr>
              <w:t>2</w:t>
            </w:r>
          </w:p>
        </w:tc>
        <w:tc>
          <w:tcPr>
            <w:tcW w:w="2514" w:type="dxa"/>
            <w:tcBorders>
              <w:top w:val="single" w:color="auto" w:sz="4" w:space="0"/>
              <w:left w:val="nil"/>
              <w:bottom w:val="single" w:color="auto" w:sz="4" w:space="0"/>
              <w:right w:val="single" w:color="auto" w:sz="4" w:space="0"/>
            </w:tcBorders>
            <w:vAlign w:val="center"/>
          </w:tcPr>
          <w:p>
            <w:pPr>
              <w:spacing w:line="360" w:lineRule="auto"/>
              <w:ind w:right="-11"/>
              <w:jc w:val="center"/>
              <w:rPr>
                <w:rFonts w:ascii="宋体" w:hAnsi="宋体"/>
              </w:rPr>
            </w:pPr>
            <w:r>
              <w:rPr>
                <w:rFonts w:hint="eastAsia" w:ascii="宋体" w:hAnsi="宋体"/>
              </w:rPr>
              <w:t>商务要求响应情况</w:t>
            </w:r>
          </w:p>
        </w:tc>
        <w:tc>
          <w:tcPr>
            <w:tcW w:w="3990" w:type="dxa"/>
            <w:tcBorders>
              <w:top w:val="single" w:color="auto" w:sz="4" w:space="0"/>
              <w:left w:val="single" w:color="auto" w:sz="4" w:space="0"/>
              <w:bottom w:val="single" w:color="auto" w:sz="4" w:space="0"/>
              <w:right w:val="single" w:color="auto" w:sz="4" w:space="0"/>
            </w:tcBorders>
            <w:vAlign w:val="center"/>
          </w:tcPr>
          <w:p>
            <w:pPr>
              <w:spacing w:line="360" w:lineRule="auto"/>
              <w:ind w:right="-11"/>
              <w:jc w:val="center"/>
              <w:rPr>
                <w:rFonts w:ascii="宋体" w:hAnsi="宋体"/>
              </w:rPr>
            </w:pPr>
            <w:r>
              <w:rPr>
                <w:rFonts w:hint="eastAsia" w:ascii="宋体" w:hAnsi="宋体"/>
              </w:rPr>
              <w:t>符合磋商文件第三章第二项要求</w:t>
            </w:r>
          </w:p>
        </w:tc>
        <w:tc>
          <w:tcPr>
            <w:tcW w:w="153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1"/>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3</w:t>
            </w:r>
          </w:p>
        </w:tc>
        <w:tc>
          <w:tcPr>
            <w:tcW w:w="2514"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rPr>
            </w:pPr>
            <w:r>
              <w:rPr>
                <w:rFonts w:hint="eastAsia" w:ascii="宋体" w:hAnsi="宋体"/>
              </w:rPr>
              <w:t>标书规范性</w:t>
            </w:r>
          </w:p>
        </w:tc>
        <w:tc>
          <w:tcPr>
            <w:tcW w:w="3990" w:type="dxa"/>
            <w:tcBorders>
              <w:top w:val="single" w:color="auto" w:sz="4" w:space="0"/>
              <w:left w:val="single" w:color="auto" w:sz="4" w:space="0"/>
              <w:bottom w:val="single" w:color="auto" w:sz="4" w:space="0"/>
              <w:right w:val="single" w:color="auto" w:sz="4" w:space="0"/>
            </w:tcBorders>
            <w:vAlign w:val="center"/>
          </w:tcPr>
          <w:p>
            <w:pPr>
              <w:ind w:right="-11"/>
              <w:jc w:val="center"/>
              <w:rPr>
                <w:rFonts w:ascii="宋体" w:hAnsi="宋体"/>
              </w:rPr>
            </w:pPr>
            <w:r>
              <w:rPr>
                <w:rFonts w:hint="eastAsia" w:ascii="宋体" w:hAnsi="宋体"/>
              </w:rPr>
              <w:t>符合磋商文件要求（</w:t>
            </w:r>
            <w:r>
              <w:rPr>
                <w:rFonts w:hint="eastAsia" w:ascii="宋体" w:hAnsi="宋体" w:cs="Arial"/>
              </w:rPr>
              <w:t>按照规定的要求进行编制、装订、标记和签署</w:t>
            </w:r>
            <w:r>
              <w:rPr>
                <w:rFonts w:hint="eastAsia" w:ascii="宋体" w:hAnsi="宋体"/>
              </w:rPr>
              <w:t>）</w:t>
            </w:r>
          </w:p>
        </w:tc>
        <w:tc>
          <w:tcPr>
            <w:tcW w:w="1530" w:type="dxa"/>
            <w:tcBorders>
              <w:top w:val="single" w:color="auto" w:sz="4" w:space="0"/>
              <w:left w:val="nil"/>
              <w:bottom w:val="single" w:color="auto" w:sz="4" w:space="0"/>
              <w:right w:val="single" w:color="auto" w:sz="4" w:space="0"/>
            </w:tcBorders>
            <w:vAlign w:val="center"/>
          </w:tcPr>
          <w:p>
            <w:pPr>
              <w:spacing w:line="360" w:lineRule="auto"/>
              <w:ind w:right="-10"/>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
              <w:jc w:val="center"/>
              <w:rPr>
                <w:rFonts w:ascii="宋体" w:hAnsi="宋体"/>
              </w:rPr>
            </w:pPr>
            <w:r>
              <w:rPr>
                <w:rFonts w:hint="eastAsia" w:ascii="宋体" w:hAnsi="宋体"/>
              </w:rPr>
              <w:t>4</w:t>
            </w:r>
          </w:p>
        </w:tc>
        <w:tc>
          <w:tcPr>
            <w:tcW w:w="2514" w:type="dxa"/>
            <w:tcBorders>
              <w:top w:val="single" w:color="auto" w:sz="4" w:space="0"/>
              <w:left w:val="nil"/>
              <w:bottom w:val="single" w:color="auto" w:sz="4" w:space="0"/>
              <w:right w:val="single" w:color="auto" w:sz="4" w:space="0"/>
            </w:tcBorders>
            <w:vAlign w:val="center"/>
          </w:tcPr>
          <w:p>
            <w:pPr>
              <w:spacing w:line="460" w:lineRule="exact"/>
              <w:ind w:right="-11"/>
              <w:jc w:val="center"/>
              <w:rPr>
                <w:rFonts w:ascii="宋体" w:hAnsi="宋体"/>
              </w:rPr>
            </w:pPr>
            <w:r>
              <w:rPr>
                <w:rFonts w:hint="eastAsia"/>
              </w:rPr>
              <w:t>磋商响应函</w:t>
            </w:r>
          </w:p>
        </w:tc>
        <w:tc>
          <w:tcPr>
            <w:tcW w:w="3990" w:type="dxa"/>
            <w:tcBorders>
              <w:top w:val="single" w:color="auto" w:sz="4" w:space="0"/>
              <w:left w:val="single" w:color="auto" w:sz="4" w:space="0"/>
              <w:bottom w:val="single" w:color="auto" w:sz="4" w:space="0"/>
              <w:right w:val="single" w:color="auto" w:sz="4" w:space="0"/>
            </w:tcBorders>
            <w:vAlign w:val="center"/>
          </w:tcPr>
          <w:p>
            <w:pPr>
              <w:spacing w:line="460" w:lineRule="exact"/>
              <w:ind w:right="-11" w:firstLine="840" w:firstLineChars="400"/>
              <w:rPr>
                <w:rFonts w:ascii="宋体" w:hAnsi="宋体"/>
              </w:rPr>
            </w:pPr>
            <w:r>
              <w:rPr>
                <w:rFonts w:hint="eastAsia" w:ascii="宋体" w:hAnsi="宋体"/>
              </w:rPr>
              <w:t>符合磋商文件要求</w:t>
            </w:r>
          </w:p>
        </w:tc>
        <w:tc>
          <w:tcPr>
            <w:tcW w:w="153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10"/>
              <w:jc w:val="left"/>
              <w:rPr>
                <w:rFonts w:ascii="宋体" w:hAnsi="宋体"/>
                <w:b/>
                <w:bCs/>
              </w:rPr>
            </w:pPr>
          </w:p>
        </w:tc>
      </w:tr>
    </w:tbl>
    <w:p>
      <w:pPr>
        <w:pStyle w:val="63"/>
        <w:ind w:firstLine="420"/>
        <w:rPr>
          <w:rFonts w:ascii="宋体" w:hAnsi="宋体"/>
        </w:rPr>
      </w:pPr>
      <w:r>
        <w:rPr>
          <w:rFonts w:hint="eastAsia" w:ascii="宋体" w:hAnsi="宋体"/>
        </w:rPr>
        <w:t xml:space="preserve"> </w:t>
      </w:r>
    </w:p>
    <w:p>
      <w:pPr>
        <w:pStyle w:val="59"/>
        <w:rPr>
          <w:color w:val="auto"/>
        </w:rPr>
      </w:pPr>
      <w:r>
        <w:rPr>
          <w:rFonts w:hint="eastAsia"/>
          <w:color w:val="auto"/>
        </w:rPr>
        <w:br w:type="page"/>
      </w:r>
      <w:bookmarkStart w:id="44" w:name="_Toc511899303"/>
      <w:bookmarkEnd w:id="44"/>
      <w:bookmarkStart w:id="45" w:name="_Toc511899304"/>
      <w:bookmarkEnd w:id="45"/>
      <w:bookmarkStart w:id="46" w:name="_Toc22572"/>
      <w:bookmarkStart w:id="47" w:name="_Toc19021"/>
      <w:r>
        <w:rPr>
          <w:rFonts w:hint="eastAsia" w:ascii="黑体"/>
          <w:color w:val="auto"/>
        </w:rPr>
        <w:t>第五章</w:t>
      </w:r>
      <w:r>
        <w:rPr>
          <w:rFonts w:hint="eastAsia"/>
          <w:color w:val="auto"/>
        </w:rPr>
        <w:t xml:space="preserve"> </w:t>
      </w:r>
      <w:r>
        <w:rPr>
          <w:rFonts w:hint="eastAsia" w:ascii="黑体"/>
          <w:color w:val="auto"/>
        </w:rPr>
        <w:t>评分办法</w:t>
      </w:r>
      <w:bookmarkEnd w:id="46"/>
    </w:p>
    <w:p>
      <w:pPr>
        <w:rPr>
          <w:rFonts w:ascii="宋体" w:hAnsi="宋体"/>
        </w:rPr>
      </w:pPr>
      <w:r>
        <w:rPr>
          <w:rFonts w:hint="eastAsia" w:ascii="宋体" w:hAnsi="宋体"/>
        </w:rPr>
        <w:t xml:space="preserve">  </w:t>
      </w:r>
    </w:p>
    <w:tbl>
      <w:tblPr>
        <w:tblStyle w:val="24"/>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941"/>
        <w:gridCol w:w="438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spacing w:line="500" w:lineRule="exact"/>
              <w:jc w:val="center"/>
              <w:rPr>
                <w:rFonts w:ascii="宋体" w:hAnsi="宋体"/>
              </w:rPr>
            </w:pPr>
            <w:r>
              <w:rPr>
                <w:rFonts w:hint="eastAsia" w:ascii="宋体" w:hAnsi="宋体"/>
              </w:rPr>
              <w:t>评审项目</w:t>
            </w:r>
          </w:p>
        </w:tc>
        <w:tc>
          <w:tcPr>
            <w:tcW w:w="1941" w:type="dxa"/>
            <w:tcBorders>
              <w:bottom w:val="single" w:color="auto" w:sz="4" w:space="0"/>
            </w:tcBorders>
          </w:tcPr>
          <w:p>
            <w:pPr>
              <w:spacing w:line="500" w:lineRule="exact"/>
              <w:ind w:firstLine="105" w:firstLineChars="50"/>
              <w:rPr>
                <w:rFonts w:ascii="宋体" w:hAnsi="宋体"/>
              </w:rPr>
            </w:pPr>
            <w:r>
              <w:rPr>
                <w:rFonts w:hint="eastAsia" w:ascii="宋体" w:hAnsi="宋体"/>
              </w:rPr>
              <w:t>分值</w:t>
            </w:r>
          </w:p>
        </w:tc>
        <w:tc>
          <w:tcPr>
            <w:tcW w:w="4382" w:type="dxa"/>
          </w:tcPr>
          <w:p>
            <w:pPr>
              <w:spacing w:line="500" w:lineRule="exact"/>
              <w:ind w:firstLine="1890" w:firstLineChars="900"/>
              <w:rPr>
                <w:rFonts w:ascii="宋体" w:hAnsi="宋体"/>
              </w:rPr>
            </w:pPr>
            <w:r>
              <w:rPr>
                <w:rFonts w:hint="eastAsia" w:ascii="宋体" w:hAnsi="宋体"/>
              </w:rPr>
              <w:t>评审内容及标准</w:t>
            </w:r>
          </w:p>
        </w:tc>
        <w:tc>
          <w:tcPr>
            <w:tcW w:w="1647" w:type="dxa"/>
          </w:tcPr>
          <w:p>
            <w:pPr>
              <w:tabs>
                <w:tab w:val="left" w:pos="657"/>
              </w:tabs>
              <w:spacing w:line="50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1432" w:type="dxa"/>
            <w:vMerge w:val="restart"/>
            <w:tcBorders>
              <w:right w:val="single" w:color="auto" w:sz="4" w:space="0"/>
            </w:tcBorders>
            <w:vAlign w:val="center"/>
          </w:tcPr>
          <w:p>
            <w:pPr>
              <w:spacing w:line="500" w:lineRule="exact"/>
              <w:jc w:val="center"/>
              <w:rPr>
                <w:rFonts w:ascii="宋体" w:hAnsi="宋体"/>
              </w:rPr>
            </w:pPr>
            <w:r>
              <w:rPr>
                <w:rFonts w:hint="eastAsia" w:ascii="宋体" w:hAnsi="宋体"/>
              </w:rPr>
              <w:t>技术分（80分）</w:t>
            </w:r>
          </w:p>
        </w:tc>
        <w:tc>
          <w:tcPr>
            <w:tcW w:w="1941" w:type="dxa"/>
            <w:tcBorders>
              <w:top w:val="single" w:color="auto" w:sz="4" w:space="0"/>
              <w:left w:val="single" w:color="auto" w:sz="4" w:space="0"/>
              <w:right w:val="single" w:color="auto" w:sz="4" w:space="0"/>
            </w:tcBorders>
            <w:vAlign w:val="center"/>
          </w:tcPr>
          <w:p>
            <w:pPr>
              <w:spacing w:line="500" w:lineRule="exact"/>
              <w:ind w:firstLine="105" w:firstLineChars="50"/>
              <w:jc w:val="center"/>
              <w:rPr>
                <w:rFonts w:ascii="宋体" w:hAnsi="宋体"/>
              </w:rPr>
            </w:pPr>
            <w:r>
              <w:rPr>
                <w:rFonts w:hint="eastAsia" w:ascii="宋体" w:hAnsi="宋体"/>
              </w:rPr>
              <w:t>技术服务水平（</w:t>
            </w:r>
            <w:r>
              <w:rPr>
                <w:rFonts w:hint="eastAsia" w:ascii="宋体" w:hAnsi="宋体"/>
                <w:lang w:val="en-US" w:eastAsia="zh-CN"/>
              </w:rPr>
              <w:t>5</w:t>
            </w:r>
            <w:r>
              <w:rPr>
                <w:rFonts w:hint="eastAsia" w:ascii="宋体" w:hAnsi="宋体"/>
              </w:rPr>
              <w:t>0分）</w:t>
            </w:r>
          </w:p>
        </w:tc>
        <w:tc>
          <w:tcPr>
            <w:tcW w:w="4382" w:type="dxa"/>
            <w:tcBorders>
              <w:left w:val="single" w:color="auto" w:sz="4" w:space="0"/>
            </w:tcBorders>
          </w:tcPr>
          <w:p>
            <w:pPr>
              <w:spacing w:line="500" w:lineRule="exact"/>
              <w:jc w:val="left"/>
              <w:rPr>
                <w:rFonts w:ascii="宋体" w:hAnsi="宋体"/>
                <w:color w:val="FF0000"/>
              </w:rPr>
            </w:pPr>
            <w:r>
              <w:rPr>
                <w:rFonts w:hint="eastAsia" w:ascii="宋体" w:hAnsi="宋体"/>
              </w:rPr>
              <w:t>1、根据供应商总体思路和技术路线基本可行性，是否切合本项目实际情况</w:t>
            </w:r>
            <w:r>
              <w:rPr>
                <w:rFonts w:hint="eastAsia" w:ascii="宋体" w:hAnsi="宋体"/>
                <w:color w:val="FF0000"/>
              </w:rPr>
              <w:t>；</w:t>
            </w:r>
            <w:r>
              <w:rPr>
                <w:rFonts w:hint="eastAsia" w:ascii="宋体" w:hAnsi="宋体"/>
              </w:rPr>
              <w:t>总体思路和技术路线条理是否清晰</w:t>
            </w:r>
            <w:r>
              <w:rPr>
                <w:rFonts w:hint="eastAsia" w:ascii="宋体" w:hAnsi="宋体"/>
                <w:color w:val="FF0000"/>
              </w:rPr>
              <w:t>；</w:t>
            </w:r>
            <w:r>
              <w:rPr>
                <w:rFonts w:hint="eastAsia" w:ascii="宋体" w:hAnsi="宋体"/>
              </w:rPr>
              <w:t>是否有独到见解等</w:t>
            </w:r>
            <w:r>
              <w:rPr>
                <w:rFonts w:hint="eastAsia" w:ascii="宋体" w:hAnsi="宋体"/>
                <w:lang w:val="en-US" w:eastAsia="zh-CN"/>
              </w:rPr>
              <w:t>进行评分</w:t>
            </w:r>
            <w:r>
              <w:rPr>
                <w:rFonts w:hint="eastAsia" w:ascii="宋体" w:hAnsi="宋体"/>
                <w:lang w:eastAsia="zh-CN"/>
              </w:rPr>
              <w:t>；</w:t>
            </w:r>
            <w:r>
              <w:rPr>
                <w:rFonts w:hint="eastAsia" w:ascii="宋体" w:hAnsi="宋体"/>
                <w:color w:val="FF0000"/>
              </w:rPr>
              <w:t>优秀得</w:t>
            </w:r>
            <w:r>
              <w:rPr>
                <w:rFonts w:hint="eastAsia" w:ascii="宋体" w:hAnsi="宋体"/>
                <w:color w:val="FF0000"/>
                <w:lang w:val="en-US" w:eastAsia="zh-CN"/>
              </w:rPr>
              <w:t>10.1-1</w:t>
            </w:r>
            <w:r>
              <w:rPr>
                <w:rFonts w:hint="eastAsia" w:ascii="宋体" w:hAnsi="宋体"/>
                <w:color w:val="FF0000"/>
              </w:rPr>
              <w:t>5</w:t>
            </w:r>
            <w:r>
              <w:rPr>
                <w:rFonts w:hint="eastAsia" w:ascii="宋体" w:hAnsi="宋体"/>
                <w:color w:val="FF0000"/>
                <w:lang w:val="en-US" w:eastAsia="zh-CN"/>
              </w:rPr>
              <w:t>.0</w:t>
            </w:r>
            <w:r>
              <w:rPr>
                <w:rFonts w:hint="eastAsia" w:ascii="宋体" w:hAnsi="宋体"/>
                <w:color w:val="FF0000"/>
              </w:rPr>
              <w:t>分，良好得</w:t>
            </w:r>
            <w:r>
              <w:rPr>
                <w:rFonts w:hint="eastAsia" w:ascii="宋体" w:hAnsi="宋体"/>
                <w:color w:val="FF0000"/>
                <w:lang w:val="en-US" w:eastAsia="zh-CN"/>
              </w:rPr>
              <w:t>5.1-10.0</w:t>
            </w:r>
            <w:r>
              <w:rPr>
                <w:rFonts w:hint="eastAsia" w:ascii="宋体" w:hAnsi="宋体"/>
                <w:color w:val="FF0000"/>
              </w:rPr>
              <w:t>分，一般得</w:t>
            </w:r>
            <w:r>
              <w:rPr>
                <w:rFonts w:hint="eastAsia" w:ascii="宋体" w:hAnsi="宋体"/>
                <w:color w:val="FF0000"/>
                <w:lang w:val="en-US" w:eastAsia="zh-CN"/>
              </w:rPr>
              <w:t>0.0-5.0</w:t>
            </w:r>
            <w:r>
              <w:rPr>
                <w:rFonts w:hint="eastAsia" w:ascii="宋体" w:hAnsi="宋体"/>
                <w:color w:val="FF0000"/>
              </w:rPr>
              <w:t>分。</w:t>
            </w:r>
            <w:r>
              <w:rPr>
                <w:rFonts w:ascii="宋体" w:hAnsi="宋体"/>
                <w:color w:val="FF0000"/>
              </w:rPr>
              <w:t xml:space="preserve"> </w:t>
            </w:r>
          </w:p>
          <w:p>
            <w:pPr>
              <w:spacing w:line="500" w:lineRule="exact"/>
              <w:jc w:val="left"/>
              <w:rPr>
                <w:rFonts w:hint="eastAsia" w:ascii="宋体" w:hAnsi="宋体"/>
                <w:color w:val="FF0000"/>
              </w:rPr>
            </w:pPr>
            <w:r>
              <w:rPr>
                <w:rFonts w:hint="eastAsia" w:ascii="宋体" w:hAnsi="宋体"/>
              </w:rPr>
              <w:t>2、根据供应商对本项目核心思路、项目实施步骤、项目成果及其内容构成等进行评分。</w:t>
            </w:r>
            <w:r>
              <w:rPr>
                <w:rFonts w:hint="eastAsia" w:ascii="宋体" w:hAnsi="宋体"/>
                <w:color w:val="FF0000"/>
              </w:rPr>
              <w:t>优秀得</w:t>
            </w:r>
            <w:r>
              <w:rPr>
                <w:rFonts w:hint="eastAsia" w:ascii="宋体" w:hAnsi="宋体"/>
                <w:color w:val="FF0000"/>
                <w:lang w:val="en-US" w:eastAsia="zh-CN"/>
              </w:rPr>
              <w:t>10.1-1</w:t>
            </w:r>
            <w:r>
              <w:rPr>
                <w:rFonts w:hint="eastAsia" w:ascii="宋体" w:hAnsi="宋体"/>
                <w:color w:val="FF0000"/>
              </w:rPr>
              <w:t>5</w:t>
            </w:r>
            <w:r>
              <w:rPr>
                <w:rFonts w:hint="eastAsia" w:ascii="宋体" w:hAnsi="宋体"/>
                <w:color w:val="FF0000"/>
                <w:lang w:val="en-US" w:eastAsia="zh-CN"/>
              </w:rPr>
              <w:t>.0</w:t>
            </w:r>
            <w:r>
              <w:rPr>
                <w:rFonts w:hint="eastAsia" w:ascii="宋体" w:hAnsi="宋体"/>
                <w:color w:val="FF0000"/>
              </w:rPr>
              <w:t>分，良好得</w:t>
            </w:r>
            <w:r>
              <w:rPr>
                <w:rFonts w:hint="eastAsia" w:ascii="宋体" w:hAnsi="宋体"/>
                <w:color w:val="FF0000"/>
                <w:lang w:val="en-US" w:eastAsia="zh-CN"/>
              </w:rPr>
              <w:t>5.1-10.0</w:t>
            </w:r>
            <w:r>
              <w:rPr>
                <w:rFonts w:hint="eastAsia" w:ascii="宋体" w:hAnsi="宋体"/>
                <w:color w:val="FF0000"/>
              </w:rPr>
              <w:t>分，一般得</w:t>
            </w:r>
            <w:r>
              <w:rPr>
                <w:rFonts w:hint="eastAsia" w:ascii="宋体" w:hAnsi="宋体"/>
                <w:color w:val="FF0000"/>
                <w:lang w:val="en-US" w:eastAsia="zh-CN"/>
              </w:rPr>
              <w:t>0.0-5.0</w:t>
            </w:r>
            <w:r>
              <w:rPr>
                <w:rFonts w:hint="eastAsia" w:ascii="宋体" w:hAnsi="宋体"/>
                <w:color w:val="FF0000"/>
              </w:rPr>
              <w:t>分。</w:t>
            </w:r>
          </w:p>
          <w:p>
            <w:pPr>
              <w:spacing w:line="500" w:lineRule="exact"/>
              <w:jc w:val="left"/>
              <w:rPr>
                <w:rFonts w:ascii="宋体" w:hAnsi="宋体"/>
              </w:rPr>
            </w:pPr>
            <w:r>
              <w:rPr>
                <w:rFonts w:hint="eastAsia" w:ascii="宋体" w:hAnsi="宋体"/>
              </w:rPr>
              <w:t>3、根据供应商对本项目制定的工作计划是否可行、工作计划安排紧密、是否切合本项目实际情况等进行评分。</w:t>
            </w:r>
            <w:r>
              <w:rPr>
                <w:rFonts w:hint="eastAsia" w:ascii="宋体" w:hAnsi="宋体"/>
                <w:color w:val="FF0000"/>
              </w:rPr>
              <w:t>优秀得</w:t>
            </w:r>
            <w:r>
              <w:rPr>
                <w:rFonts w:hint="eastAsia" w:ascii="宋体" w:hAnsi="宋体"/>
                <w:color w:val="FF0000"/>
                <w:lang w:val="en-US" w:eastAsia="zh-CN"/>
              </w:rPr>
              <w:t>7.1-10.0</w:t>
            </w:r>
            <w:r>
              <w:rPr>
                <w:rFonts w:hint="eastAsia" w:ascii="宋体" w:hAnsi="宋体"/>
                <w:color w:val="FF0000"/>
              </w:rPr>
              <w:t>分，良好得</w:t>
            </w:r>
            <w:r>
              <w:rPr>
                <w:rFonts w:hint="eastAsia" w:ascii="宋体" w:hAnsi="宋体"/>
                <w:color w:val="FF0000"/>
                <w:lang w:val="en-US" w:eastAsia="zh-CN"/>
              </w:rPr>
              <w:t>4.1-7.0</w:t>
            </w:r>
            <w:r>
              <w:rPr>
                <w:rFonts w:hint="eastAsia" w:ascii="宋体" w:hAnsi="宋体"/>
                <w:color w:val="FF0000"/>
              </w:rPr>
              <w:t>分，一般得</w:t>
            </w:r>
            <w:r>
              <w:rPr>
                <w:rFonts w:hint="eastAsia" w:ascii="宋体" w:hAnsi="宋体"/>
                <w:color w:val="FF0000"/>
                <w:lang w:val="en-US" w:eastAsia="zh-CN"/>
              </w:rPr>
              <w:t>0.0-4.0</w:t>
            </w:r>
            <w:r>
              <w:rPr>
                <w:rFonts w:hint="eastAsia" w:ascii="宋体" w:hAnsi="宋体"/>
                <w:color w:val="FF0000"/>
              </w:rPr>
              <w:t>分。</w:t>
            </w:r>
          </w:p>
          <w:p>
            <w:pPr>
              <w:spacing w:line="500" w:lineRule="exact"/>
              <w:jc w:val="left"/>
              <w:rPr>
                <w:rFonts w:ascii="宋体" w:hAnsi="宋体"/>
              </w:rPr>
            </w:pPr>
            <w:r>
              <w:rPr>
                <w:rFonts w:hint="eastAsia" w:ascii="宋体" w:hAnsi="宋体"/>
              </w:rPr>
              <w:t>4、根据各供应商进度安排计划、质量管理的科学性、合理性等进行比较打分。</w:t>
            </w:r>
            <w:r>
              <w:rPr>
                <w:rFonts w:hint="eastAsia" w:ascii="宋体" w:hAnsi="宋体"/>
                <w:color w:val="FF0000"/>
              </w:rPr>
              <w:t>优秀得</w:t>
            </w:r>
            <w:r>
              <w:rPr>
                <w:rFonts w:hint="eastAsia" w:ascii="宋体" w:hAnsi="宋体"/>
                <w:color w:val="FF0000"/>
                <w:lang w:val="en-US" w:eastAsia="zh-CN"/>
              </w:rPr>
              <w:t>7.1-10.0</w:t>
            </w:r>
            <w:r>
              <w:rPr>
                <w:rFonts w:hint="eastAsia" w:ascii="宋体" w:hAnsi="宋体"/>
                <w:color w:val="FF0000"/>
              </w:rPr>
              <w:t>分，良好得</w:t>
            </w:r>
            <w:r>
              <w:rPr>
                <w:rFonts w:hint="eastAsia" w:ascii="宋体" w:hAnsi="宋体"/>
                <w:color w:val="FF0000"/>
                <w:lang w:val="en-US" w:eastAsia="zh-CN"/>
              </w:rPr>
              <w:t>4.1-7.0</w:t>
            </w:r>
            <w:r>
              <w:rPr>
                <w:rFonts w:hint="eastAsia" w:ascii="宋体" w:hAnsi="宋体"/>
                <w:color w:val="FF0000"/>
              </w:rPr>
              <w:t>分，一般得</w:t>
            </w:r>
            <w:r>
              <w:rPr>
                <w:rFonts w:hint="eastAsia" w:ascii="宋体" w:hAnsi="宋体"/>
                <w:color w:val="FF0000"/>
                <w:lang w:val="en-US" w:eastAsia="zh-CN"/>
              </w:rPr>
              <w:t>0.0-4.0</w:t>
            </w:r>
            <w:r>
              <w:rPr>
                <w:rFonts w:hint="eastAsia" w:ascii="宋体" w:hAnsi="宋体"/>
                <w:color w:val="FF0000"/>
              </w:rPr>
              <w:t>分。</w:t>
            </w:r>
            <w:r>
              <w:rPr>
                <w:color w:val="FF0000"/>
              </w:rPr>
              <w:t xml:space="preserve"> </w:t>
            </w:r>
            <w:r>
              <w:t xml:space="preserve">        </w:t>
            </w:r>
            <w:r>
              <w:rPr>
                <w:rFonts w:ascii="宋体" w:hAnsi="宋体"/>
              </w:rPr>
              <w:t xml:space="preserve">                     </w:t>
            </w:r>
          </w:p>
        </w:tc>
        <w:tc>
          <w:tcPr>
            <w:tcW w:w="1647" w:type="dxa"/>
          </w:tcPr>
          <w:p>
            <w:pPr>
              <w:spacing w:line="500" w:lineRule="exact"/>
              <w:jc w:val="left"/>
              <w:rPr>
                <w:rFonts w:ascii="宋体" w:hAnsi="宋体"/>
                <w:color w:val="FF0000"/>
              </w:rPr>
            </w:pPr>
            <w:r>
              <w:rPr>
                <w:rFonts w:hint="eastAsia" w:ascii="宋体" w:hAnsi="宋体"/>
                <w:color w:val="FF0000"/>
              </w:rPr>
              <w:t xml:space="preserve"> 述标</w:t>
            </w:r>
            <w:r>
              <w:rPr>
                <w:rFonts w:ascii="宋体" w:hAnsi="宋体"/>
                <w:color w:val="FF0000"/>
              </w:rPr>
              <w:t>确定</w:t>
            </w:r>
            <w:r>
              <w:rPr>
                <w:rFonts w:hint="eastAsia" w:ascii="宋体" w:hAnsi="宋体"/>
                <w:color w:val="FF0000"/>
              </w:rPr>
              <w:t>：在进行评分前按签到顺序</w:t>
            </w:r>
            <w:r>
              <w:rPr>
                <w:rFonts w:ascii="宋体" w:hAnsi="宋体"/>
                <w:color w:val="FF0000"/>
              </w:rPr>
              <w:t>确定</w:t>
            </w:r>
            <w:r>
              <w:rPr>
                <w:rFonts w:hint="eastAsia" w:ascii="宋体" w:hAnsi="宋体"/>
                <w:color w:val="FF0000"/>
              </w:rPr>
              <w:t>述标</w:t>
            </w:r>
            <w:r>
              <w:rPr>
                <w:rFonts w:ascii="宋体" w:hAnsi="宋体"/>
                <w:color w:val="FF0000"/>
              </w:rPr>
              <w:t>顺序。</w:t>
            </w:r>
            <w:r>
              <w:rPr>
                <w:rFonts w:hint="eastAsia" w:ascii="宋体" w:hAnsi="宋体"/>
                <w:color w:val="FF0000"/>
              </w:rPr>
              <w:t>按顺序</w:t>
            </w:r>
            <w:r>
              <w:rPr>
                <w:rFonts w:ascii="宋体" w:hAnsi="宋体"/>
                <w:color w:val="FF0000"/>
              </w:rPr>
              <w:t>安排</w:t>
            </w:r>
            <w:r>
              <w:rPr>
                <w:rFonts w:hint="eastAsia" w:ascii="宋体" w:hAnsi="宋体"/>
                <w:color w:val="FF0000"/>
              </w:rPr>
              <w:t>供应商进入评标室</w:t>
            </w:r>
            <w:r>
              <w:rPr>
                <w:rFonts w:ascii="宋体" w:hAnsi="宋体"/>
                <w:color w:val="FF0000"/>
              </w:rPr>
              <w:t>分别进行</w:t>
            </w:r>
            <w:r>
              <w:rPr>
                <w:rFonts w:hint="eastAsia" w:ascii="宋体" w:hAnsi="宋体"/>
                <w:color w:val="FF0000"/>
              </w:rPr>
              <w:t>陈述，每家供应商陈述时间20-30分钟。</w:t>
            </w:r>
          </w:p>
          <w:p>
            <w:pPr>
              <w:spacing w:line="500" w:lineRule="exact"/>
              <w:jc w:val="left"/>
              <w:rPr>
                <w:rFonts w:ascii="宋体" w:hAnsi="宋体"/>
              </w:rPr>
            </w:pPr>
            <w:r>
              <w:rPr>
                <w:rFonts w:hint="eastAsia" w:ascii="宋体" w:hAnsi="宋体"/>
                <w:color w:val="FF0000"/>
                <w:highlight w:val="yellow"/>
              </w:rPr>
              <w:t>注：陈述人必须是供应商正式职工。</w:t>
            </w:r>
            <w:r>
              <w:rPr>
                <w:rFonts w:hint="eastAsia" w:ascii="宋体" w:hAnsi="宋体"/>
                <w:color w:val="FF0000"/>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1432" w:type="dxa"/>
            <w:vMerge w:val="continue"/>
          </w:tcPr>
          <w:p>
            <w:pPr>
              <w:spacing w:line="500" w:lineRule="exact"/>
              <w:jc w:val="center"/>
              <w:rPr>
                <w:rFonts w:ascii="宋体" w:hAnsi="宋体"/>
              </w:rPr>
            </w:pPr>
          </w:p>
        </w:tc>
        <w:tc>
          <w:tcPr>
            <w:tcW w:w="1941" w:type="dxa"/>
            <w:vAlign w:val="center"/>
          </w:tcPr>
          <w:p>
            <w:pPr>
              <w:spacing w:line="500" w:lineRule="exact"/>
              <w:ind w:firstLine="105" w:firstLineChars="50"/>
              <w:jc w:val="center"/>
              <w:rPr>
                <w:rFonts w:ascii="宋体" w:hAnsi="宋体"/>
              </w:rPr>
            </w:pPr>
            <w:r>
              <w:rPr>
                <w:rFonts w:hint="eastAsia" w:ascii="宋体" w:hAnsi="宋体"/>
              </w:rPr>
              <w:t>履约能力（</w:t>
            </w:r>
            <w:r>
              <w:rPr>
                <w:rFonts w:hint="eastAsia" w:ascii="宋体" w:hAnsi="宋体"/>
                <w:lang w:val="en-US" w:eastAsia="zh-CN"/>
              </w:rPr>
              <w:t>2</w:t>
            </w:r>
            <w:r>
              <w:rPr>
                <w:rFonts w:hint="eastAsia" w:ascii="宋体" w:hAnsi="宋体"/>
              </w:rPr>
              <w:t>0分）</w:t>
            </w:r>
          </w:p>
        </w:tc>
        <w:tc>
          <w:tcPr>
            <w:tcW w:w="4382" w:type="dxa"/>
          </w:tcPr>
          <w:p>
            <w:pPr>
              <w:numPr>
                <w:ilvl w:val="0"/>
                <w:numId w:val="2"/>
              </w:numPr>
              <w:spacing w:line="500" w:lineRule="exact"/>
              <w:rPr>
                <w:rFonts w:ascii="宋体" w:hAnsi="宋体"/>
                <w:b/>
              </w:rPr>
            </w:pPr>
            <w:r>
              <w:rPr>
                <w:rFonts w:hint="eastAsia" w:ascii="宋体" w:hAnsi="宋体"/>
                <w:b/>
              </w:rPr>
              <w:t>企业业绩（25分）：</w:t>
            </w:r>
          </w:p>
          <w:p>
            <w:pPr>
              <w:spacing w:line="500" w:lineRule="exact"/>
              <w:rPr>
                <w:rFonts w:ascii="宋体" w:hAnsi="宋体"/>
              </w:rPr>
            </w:pPr>
            <w:r>
              <w:rPr>
                <w:rFonts w:hint="eastAsia" w:ascii="宋体" w:hAnsi="宋体"/>
              </w:rPr>
              <w:t>近3年（自2016年1月1日至今）服务过区县级及以上国资委、办相关类咨询项目得</w:t>
            </w:r>
            <w:r>
              <w:rPr>
                <w:rFonts w:hint="eastAsia" w:ascii="宋体" w:hAnsi="宋体"/>
                <w:lang w:val="en-US" w:eastAsia="zh-CN"/>
              </w:rPr>
              <w:t>2</w:t>
            </w:r>
            <w:r>
              <w:rPr>
                <w:rFonts w:hint="eastAsia" w:ascii="宋体" w:hAnsi="宋体"/>
              </w:rPr>
              <w:t>分；在此基础上，每多服务一家得</w:t>
            </w:r>
            <w:r>
              <w:rPr>
                <w:rFonts w:hint="eastAsia" w:ascii="宋体" w:hAnsi="宋体"/>
                <w:lang w:val="en-US" w:eastAsia="zh-CN"/>
              </w:rPr>
              <w:t>2.5</w:t>
            </w:r>
            <w:r>
              <w:rPr>
                <w:rFonts w:hint="eastAsia" w:ascii="宋体" w:hAnsi="宋体"/>
              </w:rPr>
              <w:t>分，最多得</w:t>
            </w:r>
            <w:r>
              <w:rPr>
                <w:rFonts w:hint="eastAsia" w:ascii="宋体" w:hAnsi="宋体"/>
                <w:lang w:val="en-US" w:eastAsia="zh-CN"/>
              </w:rPr>
              <w:t>5</w:t>
            </w:r>
            <w:r>
              <w:rPr>
                <w:rFonts w:hint="eastAsia" w:ascii="宋体" w:hAnsi="宋体"/>
              </w:rPr>
              <w:t>分。</w:t>
            </w:r>
            <w:r>
              <w:rPr>
                <w:rFonts w:hint="eastAsia" w:ascii="宋体" w:hAnsi="宋体"/>
                <w:b/>
              </w:rPr>
              <w:t>此项满分</w:t>
            </w:r>
            <w:r>
              <w:rPr>
                <w:rFonts w:hint="eastAsia" w:ascii="宋体" w:hAnsi="宋体"/>
                <w:b/>
                <w:lang w:val="en-US" w:eastAsia="zh-CN"/>
              </w:rPr>
              <w:t>7</w:t>
            </w:r>
            <w:r>
              <w:rPr>
                <w:rFonts w:hint="eastAsia" w:ascii="宋体" w:hAnsi="宋体"/>
                <w:b/>
              </w:rPr>
              <w:t>分。</w:t>
            </w:r>
          </w:p>
          <w:p>
            <w:pPr>
              <w:spacing w:line="500" w:lineRule="exact"/>
              <w:rPr>
                <w:rFonts w:ascii="宋体" w:hAnsi="宋体"/>
              </w:rPr>
            </w:pPr>
            <w:r>
              <w:rPr>
                <w:rFonts w:hint="eastAsia" w:ascii="宋体" w:hAnsi="宋体"/>
              </w:rPr>
              <w:t>近3年（自2016年1月1日至今）服务过区县级及以上地方政府投融资平台公司相关类咨询项目得2分；在此基础上，每多服务一家得2分，最多得</w:t>
            </w:r>
            <w:r>
              <w:rPr>
                <w:rFonts w:hint="eastAsia" w:ascii="宋体" w:hAnsi="宋体"/>
                <w:lang w:val="en-US" w:eastAsia="zh-CN"/>
              </w:rPr>
              <w:t>6</w:t>
            </w:r>
            <w:r>
              <w:rPr>
                <w:rFonts w:hint="eastAsia" w:ascii="宋体" w:hAnsi="宋体"/>
              </w:rPr>
              <w:t>分。</w:t>
            </w:r>
            <w:r>
              <w:rPr>
                <w:rFonts w:hint="eastAsia" w:ascii="宋体" w:hAnsi="宋体"/>
                <w:b/>
              </w:rPr>
              <w:t>此项满分</w:t>
            </w:r>
            <w:r>
              <w:rPr>
                <w:rFonts w:hint="eastAsia" w:ascii="宋体" w:hAnsi="宋体"/>
                <w:b/>
                <w:lang w:val="en-US" w:eastAsia="zh-CN"/>
              </w:rPr>
              <w:t>8</w:t>
            </w:r>
            <w:r>
              <w:rPr>
                <w:rFonts w:hint="eastAsia" w:ascii="宋体" w:hAnsi="宋体"/>
                <w:b/>
              </w:rPr>
              <w:t>分。</w:t>
            </w:r>
          </w:p>
          <w:p>
            <w:pPr>
              <w:spacing w:line="500" w:lineRule="exact"/>
              <w:jc w:val="left"/>
              <w:rPr>
                <w:rFonts w:ascii="宋体" w:hAnsi="宋体"/>
                <w:b/>
              </w:rPr>
            </w:pPr>
            <w:r>
              <w:rPr>
                <w:rFonts w:hint="eastAsia" w:ascii="宋体" w:hAnsi="宋体"/>
                <w:b/>
              </w:rPr>
              <w:t>注：以上业绩证明材料投标文件中需附合同复印件，并提供原件备查。（时间以合同签订时间为准）。</w:t>
            </w:r>
          </w:p>
          <w:p>
            <w:pPr>
              <w:numPr>
                <w:ilvl w:val="0"/>
                <w:numId w:val="2"/>
              </w:numPr>
              <w:spacing w:line="500" w:lineRule="exact"/>
              <w:rPr>
                <w:rFonts w:ascii="宋体" w:hAnsi="宋体"/>
                <w:b/>
              </w:rPr>
            </w:pPr>
            <w:r>
              <w:rPr>
                <w:rFonts w:hint="eastAsia" w:ascii="宋体" w:hAnsi="宋体"/>
                <w:b/>
              </w:rPr>
              <w:t>项目负责人资格及业绩（5分）：</w:t>
            </w:r>
          </w:p>
          <w:p>
            <w:pPr>
              <w:spacing w:line="500" w:lineRule="exact"/>
              <w:jc w:val="left"/>
              <w:rPr>
                <w:rFonts w:ascii="宋体" w:hAnsi="宋体"/>
              </w:rPr>
            </w:pPr>
            <w:r>
              <w:rPr>
                <w:rFonts w:hint="eastAsia" w:ascii="宋体" w:hAnsi="宋体"/>
              </w:rPr>
              <w:t>（1）项目负责人具有国际注册管理咨询师资格得1分；</w:t>
            </w:r>
            <w:r>
              <w:rPr>
                <w:rFonts w:hint="eastAsia" w:ascii="宋体" w:hAnsi="宋体"/>
                <w:b/>
                <w:lang w:eastAsia="zh-CN"/>
              </w:rPr>
              <w:t>（</w:t>
            </w:r>
            <w:r>
              <w:rPr>
                <w:rFonts w:hint="eastAsia" w:ascii="宋体" w:hAnsi="宋体"/>
                <w:b/>
              </w:rPr>
              <w:t>需提供资格证书原件</w:t>
            </w:r>
            <w:r>
              <w:rPr>
                <w:rFonts w:hint="eastAsia" w:ascii="宋体" w:hAnsi="宋体"/>
                <w:b/>
                <w:lang w:eastAsia="zh-CN"/>
              </w:rPr>
              <w:t>）</w:t>
            </w:r>
          </w:p>
          <w:p>
            <w:pPr>
              <w:spacing w:line="500" w:lineRule="exact"/>
              <w:jc w:val="left"/>
              <w:rPr>
                <w:rFonts w:ascii="宋体" w:hAnsi="宋体"/>
                <w:b/>
              </w:rPr>
            </w:pPr>
            <w:r>
              <w:rPr>
                <w:rFonts w:hint="eastAsia" w:ascii="宋体" w:hAnsi="宋体"/>
              </w:rPr>
              <w:t>（2）具有国企改革案例经验的，自2016年1月1日至今每服务一家得1分，最多得4分。</w:t>
            </w:r>
            <w:r>
              <w:rPr>
                <w:rFonts w:hint="eastAsia" w:ascii="宋体" w:hAnsi="宋体"/>
                <w:b/>
              </w:rPr>
              <w:t>需提供合同复印件，</w:t>
            </w:r>
            <w:r>
              <w:rPr>
                <w:rFonts w:hint="eastAsia" w:ascii="宋体" w:hAnsi="宋体"/>
                <w:b/>
                <w:lang w:eastAsia="zh-CN"/>
              </w:rPr>
              <w:t>合同中应</w:t>
            </w:r>
            <w:bookmarkStart w:id="115" w:name="_GoBack"/>
            <w:bookmarkEnd w:id="115"/>
            <w:r>
              <w:rPr>
                <w:rFonts w:hint="eastAsia" w:ascii="宋体" w:hAnsi="宋体"/>
                <w:b/>
                <w:lang w:eastAsia="zh-CN"/>
              </w:rPr>
              <w:t>能体现项目负责人，</w:t>
            </w:r>
            <w:r>
              <w:rPr>
                <w:rFonts w:hint="eastAsia" w:ascii="宋体" w:hAnsi="宋体"/>
                <w:b/>
              </w:rPr>
              <w:t>并提供原件备查。（时间以合同签订时间为准）。</w:t>
            </w:r>
          </w:p>
        </w:tc>
        <w:tc>
          <w:tcPr>
            <w:tcW w:w="1647" w:type="dxa"/>
          </w:tcPr>
          <w:p>
            <w:pPr>
              <w:spacing w:line="500" w:lineRule="exact"/>
              <w:jc w:val="lef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1432" w:type="dxa"/>
            <w:vMerge w:val="continue"/>
          </w:tcPr>
          <w:p>
            <w:pPr>
              <w:spacing w:line="500" w:lineRule="exact"/>
              <w:jc w:val="center"/>
              <w:rPr>
                <w:rFonts w:ascii="宋体" w:hAnsi="宋体"/>
              </w:rPr>
            </w:pPr>
          </w:p>
        </w:tc>
        <w:tc>
          <w:tcPr>
            <w:tcW w:w="1941" w:type="dxa"/>
            <w:vAlign w:val="center"/>
          </w:tcPr>
          <w:p>
            <w:pPr>
              <w:spacing w:line="500" w:lineRule="exact"/>
              <w:ind w:firstLine="105" w:firstLineChars="50"/>
              <w:jc w:val="center"/>
              <w:rPr>
                <w:rFonts w:ascii="宋体" w:hAnsi="宋体"/>
              </w:rPr>
            </w:pPr>
            <w:r>
              <w:rPr>
                <w:rFonts w:hint="eastAsia" w:ascii="宋体" w:hAnsi="宋体"/>
              </w:rPr>
              <w:t>售后服务（10分）</w:t>
            </w:r>
          </w:p>
        </w:tc>
        <w:tc>
          <w:tcPr>
            <w:tcW w:w="4382" w:type="dxa"/>
            <w:tcBorders>
              <w:bottom w:val="single" w:color="auto" w:sz="4" w:space="0"/>
            </w:tcBorders>
          </w:tcPr>
          <w:p>
            <w:pPr>
              <w:spacing w:line="500" w:lineRule="exact"/>
              <w:jc w:val="left"/>
              <w:rPr>
                <w:rFonts w:ascii="宋体" w:hAnsi="宋体"/>
              </w:rPr>
            </w:pPr>
            <w:r>
              <w:rPr>
                <w:rFonts w:hint="eastAsia" w:ascii="宋体" w:hAnsi="宋体"/>
              </w:rPr>
              <w:t xml:space="preserve">  根据供应商对本项目提供的完整的、有针对性的实施方案及售后服务的可行性酌情进行评分：优秀</w:t>
            </w:r>
            <w:r>
              <w:rPr>
                <w:rFonts w:hint="eastAsia" w:ascii="宋体" w:hAnsi="宋体"/>
                <w:lang w:val="en-US" w:eastAsia="zh-CN"/>
              </w:rPr>
              <w:t>7.1-</w:t>
            </w:r>
            <w:r>
              <w:rPr>
                <w:rFonts w:hint="eastAsia" w:ascii="宋体" w:hAnsi="宋体"/>
              </w:rPr>
              <w:t>10</w:t>
            </w:r>
            <w:r>
              <w:rPr>
                <w:rFonts w:hint="eastAsia" w:ascii="宋体" w:hAnsi="宋体"/>
                <w:lang w:val="en-US" w:eastAsia="zh-CN"/>
              </w:rPr>
              <w:t>.0</w:t>
            </w:r>
            <w:r>
              <w:rPr>
                <w:rFonts w:hint="eastAsia" w:ascii="宋体" w:hAnsi="宋体"/>
              </w:rPr>
              <w:t>分、良好</w:t>
            </w:r>
            <w:r>
              <w:rPr>
                <w:rFonts w:hint="eastAsia" w:ascii="宋体" w:hAnsi="宋体"/>
                <w:lang w:val="en-US" w:eastAsia="zh-CN"/>
              </w:rPr>
              <w:t>4.1-7.0</w:t>
            </w:r>
            <w:r>
              <w:rPr>
                <w:rFonts w:hint="eastAsia" w:ascii="宋体" w:hAnsi="宋体"/>
              </w:rPr>
              <w:t>分、 一般</w:t>
            </w:r>
            <w:r>
              <w:rPr>
                <w:rFonts w:hint="eastAsia" w:ascii="宋体" w:hAnsi="宋体"/>
                <w:lang w:val="en-US" w:eastAsia="zh-CN"/>
              </w:rPr>
              <w:t>0.0-4.0</w:t>
            </w:r>
            <w:r>
              <w:rPr>
                <w:rFonts w:hint="eastAsia" w:ascii="宋体" w:hAnsi="宋体"/>
              </w:rPr>
              <w:t>分。</w:t>
            </w:r>
          </w:p>
          <w:p>
            <w:pPr>
              <w:spacing w:line="500" w:lineRule="exact"/>
              <w:jc w:val="left"/>
              <w:rPr>
                <w:rFonts w:ascii="宋体" w:hAnsi="宋体"/>
              </w:rPr>
            </w:pPr>
            <w:r>
              <w:rPr>
                <w:rFonts w:hint="eastAsia" w:ascii="宋体" w:hAnsi="宋体"/>
                <w:b/>
                <w:bCs/>
              </w:rPr>
              <w:t>本项满分10分。</w:t>
            </w:r>
          </w:p>
        </w:tc>
        <w:tc>
          <w:tcPr>
            <w:tcW w:w="1647" w:type="dxa"/>
          </w:tcPr>
          <w:p>
            <w:pPr>
              <w:spacing w:line="500" w:lineRule="exact"/>
              <w:jc w:val="lef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pPr>
              <w:spacing w:line="500" w:lineRule="exact"/>
              <w:jc w:val="left"/>
              <w:rPr>
                <w:rFonts w:ascii="宋体" w:hAnsi="宋体"/>
              </w:rPr>
            </w:pPr>
            <w:r>
              <w:rPr>
                <w:rFonts w:hint="eastAsia" w:ascii="宋体" w:hAnsi="宋体"/>
              </w:rPr>
              <w:t xml:space="preserve">商务分（20分） </w:t>
            </w:r>
          </w:p>
        </w:tc>
        <w:tc>
          <w:tcPr>
            <w:tcW w:w="1941" w:type="dxa"/>
            <w:tcBorders>
              <w:top w:val="single" w:color="auto" w:sz="4" w:space="0"/>
              <w:bottom w:val="single" w:color="auto" w:sz="4" w:space="0"/>
            </w:tcBorders>
          </w:tcPr>
          <w:p>
            <w:pPr>
              <w:widowControl/>
              <w:spacing w:line="300" w:lineRule="atLeast"/>
              <w:jc w:val="left"/>
              <w:rPr>
                <w:rFonts w:ascii="宋体" w:hAnsi="宋体" w:cs="宋体"/>
                <w:kern w:val="0"/>
                <w:sz w:val="20"/>
              </w:rPr>
            </w:pPr>
          </w:p>
          <w:p>
            <w:pPr>
              <w:spacing w:line="500" w:lineRule="exact"/>
              <w:ind w:firstLine="210" w:firstLineChars="100"/>
              <w:rPr>
                <w:rFonts w:ascii="宋体" w:hAnsi="宋体"/>
              </w:rPr>
            </w:pPr>
            <w:r>
              <w:rPr>
                <w:rFonts w:hint="eastAsia" w:ascii="宋体" w:hAnsi="宋体"/>
              </w:rPr>
              <w:t>报价（20分）</w:t>
            </w:r>
          </w:p>
        </w:tc>
        <w:tc>
          <w:tcPr>
            <w:tcW w:w="4382" w:type="dxa"/>
            <w:tcBorders>
              <w:top w:val="single" w:color="auto" w:sz="4" w:space="0"/>
              <w:bottom w:val="single" w:color="auto" w:sz="4" w:space="0"/>
            </w:tcBorders>
          </w:tcPr>
          <w:p>
            <w:pPr>
              <w:spacing w:line="500" w:lineRule="exact"/>
              <w:rPr>
                <w:rFonts w:ascii="宋体" w:hAnsi="宋体"/>
              </w:rPr>
            </w:pPr>
            <w:r>
              <w:rPr>
                <w:rFonts w:hint="eastAsia" w:ascii="宋体" w:hAnsi="宋体"/>
              </w:rPr>
              <w:t>1、报价得分：进入报价评分的供应商中满足磋商文件要求且所有有效供应商最终有效报价的平均价为评标基准价（若投标家数</w:t>
            </w:r>
            <w:r>
              <w:rPr>
                <w:rFonts w:hint="eastAsia" w:ascii="宋体" w:hAnsi="宋体" w:cs="宋体"/>
              </w:rPr>
              <w:t>≧</w:t>
            </w:r>
            <w:r>
              <w:rPr>
                <w:rFonts w:hint="eastAsia" w:ascii="宋体" w:hAnsi="宋体"/>
              </w:rPr>
              <w:t>5家，则去掉最高价和最低价取剩余供应商报价的平均价），其余供应商最终报价与该基准价对比，最终报价每高于或每低于评标基准价1个百分点，扣0.1分。</w:t>
            </w:r>
          </w:p>
          <w:p>
            <w:pPr>
              <w:spacing w:line="500" w:lineRule="exact"/>
              <w:rPr>
                <w:rFonts w:ascii="宋体" w:hAnsi="宋体"/>
              </w:rPr>
            </w:pPr>
            <w:r>
              <w:rPr>
                <w:rFonts w:hint="eastAsia" w:ascii="宋体" w:hAnsi="宋体"/>
              </w:rPr>
              <w:t>2、计算出报价评分值（保留小数点后2位）：</w:t>
            </w:r>
          </w:p>
          <w:p>
            <w:pPr>
              <w:spacing w:line="500" w:lineRule="exact"/>
              <w:rPr>
                <w:rFonts w:ascii="宋体" w:hAnsi="宋体"/>
              </w:rPr>
            </w:pPr>
            <w:r>
              <w:rPr>
                <w:rFonts w:hint="eastAsia" w:ascii="宋体" w:hAnsi="宋体"/>
              </w:rPr>
              <w:t>（1）有效供应商的最终报价等于评标基准价时，其报价为满分20分。</w:t>
            </w:r>
          </w:p>
          <w:p>
            <w:pPr>
              <w:spacing w:line="500" w:lineRule="exact"/>
              <w:rPr>
                <w:rFonts w:ascii="宋体" w:hAnsi="宋体"/>
              </w:rPr>
            </w:pPr>
            <w:r>
              <w:rPr>
                <w:rFonts w:hint="eastAsia" w:ascii="宋体" w:hAnsi="宋体"/>
              </w:rPr>
              <w:t>（2）其他供应商的价格分按以下公式计算：</w:t>
            </w:r>
          </w:p>
          <w:p>
            <w:pPr>
              <w:spacing w:line="500" w:lineRule="exact"/>
              <w:rPr>
                <w:rFonts w:ascii="宋体" w:hAnsi="宋体"/>
              </w:rPr>
            </w:pPr>
            <w:r>
              <w:rPr>
                <w:rFonts w:hint="eastAsia" w:ascii="宋体" w:hAnsi="宋体"/>
              </w:rPr>
              <w:t>商务分值=20－|（最终报价－评标基准价）|/评标基准价×100×扣分值</w:t>
            </w:r>
          </w:p>
          <w:p>
            <w:pPr>
              <w:spacing w:line="500" w:lineRule="exact"/>
              <w:rPr>
                <w:rFonts w:ascii="宋体" w:hAnsi="宋体" w:cs="宋体"/>
              </w:rPr>
            </w:pPr>
          </w:p>
        </w:tc>
        <w:tc>
          <w:tcPr>
            <w:tcW w:w="1647" w:type="dxa"/>
            <w:tcBorders>
              <w:top w:val="single" w:color="auto" w:sz="4" w:space="0"/>
              <w:bottom w:val="single" w:color="auto" w:sz="4" w:space="0"/>
            </w:tcBorders>
          </w:tcPr>
          <w:p>
            <w:pPr>
              <w:spacing w:line="500" w:lineRule="exac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402" w:type="dxa"/>
            <w:gridSpan w:val="4"/>
          </w:tcPr>
          <w:p>
            <w:pPr>
              <w:spacing w:line="500" w:lineRule="exact"/>
              <w:rPr>
                <w:rFonts w:hint="eastAsia" w:ascii="宋体" w:hAnsi="宋体"/>
              </w:rPr>
            </w:pPr>
            <w:r>
              <w:rPr>
                <w:rFonts w:hint="eastAsia" w:ascii="宋体" w:hAnsi="宋体"/>
              </w:rPr>
              <w:t>需要补充的其他内容：</w:t>
            </w:r>
          </w:p>
          <w:p>
            <w:pPr>
              <w:spacing w:line="500" w:lineRule="exact"/>
              <w:rPr>
                <w:rFonts w:hint="eastAsia" w:ascii="宋体" w:hAnsi="宋体" w:eastAsia="宋体"/>
                <w:lang w:eastAsia="zh-CN"/>
              </w:rPr>
            </w:pPr>
            <w:r>
              <w:rPr>
                <w:rFonts w:hint="eastAsia" w:ascii="宋体" w:hAnsi="宋体"/>
              </w:rPr>
              <w:t>（1）</w:t>
            </w:r>
            <w:r>
              <w:rPr>
                <w:rFonts w:hint="eastAsia" w:ascii="宋体" w:hAnsi="宋体"/>
                <w:lang w:val="en-US" w:eastAsia="zh-CN"/>
              </w:rPr>
              <w:t>供应商</w:t>
            </w:r>
            <w:r>
              <w:rPr>
                <w:rFonts w:hint="eastAsia" w:ascii="宋体" w:hAnsi="宋体"/>
              </w:rPr>
              <w:t>的技术</w:t>
            </w:r>
            <w:r>
              <w:rPr>
                <w:rFonts w:hint="eastAsia" w:ascii="宋体" w:hAnsi="宋体"/>
                <w:lang w:val="en-US" w:eastAsia="zh-CN"/>
              </w:rPr>
              <w:t>标</w:t>
            </w:r>
            <w:r>
              <w:rPr>
                <w:rFonts w:hint="eastAsia" w:ascii="宋体" w:hAnsi="宋体"/>
              </w:rPr>
              <w:t>无重大偏差，应至少得 60%的分数，如有重大偏差，经评标委员会人员 2/3 以上通过，评委可将其按 0 分处理</w:t>
            </w:r>
            <w:r>
              <w:rPr>
                <w:rFonts w:hint="eastAsia" w:ascii="宋体" w:hAnsi="宋体"/>
                <w:lang w:eastAsia="zh-CN"/>
              </w:rPr>
              <w:t>；</w:t>
            </w:r>
          </w:p>
          <w:p>
            <w:pPr>
              <w:spacing w:line="500" w:lineRule="exact"/>
              <w:rPr>
                <w:rFonts w:hint="eastAsia" w:ascii="宋体" w:hAnsi="宋体" w:eastAsia="宋体"/>
                <w:lang w:eastAsia="zh-CN"/>
              </w:rPr>
            </w:pPr>
            <w:r>
              <w:rPr>
                <w:rFonts w:hint="eastAsia" w:ascii="宋体" w:hAnsi="宋体"/>
              </w:rPr>
              <w:t>（2）技术</w:t>
            </w:r>
            <w:r>
              <w:rPr>
                <w:rFonts w:hint="eastAsia" w:ascii="宋体" w:hAnsi="宋体"/>
                <w:lang w:val="en-US" w:eastAsia="zh-CN"/>
              </w:rPr>
              <w:t>标经</w:t>
            </w:r>
            <w:r>
              <w:rPr>
                <w:rFonts w:hint="eastAsia" w:ascii="宋体" w:hAnsi="宋体"/>
              </w:rPr>
              <w:t>评委评出结果后,所有评委打分平均值为最终得分</w:t>
            </w:r>
            <w:r>
              <w:rPr>
                <w:rFonts w:hint="eastAsia" w:ascii="宋体" w:hAnsi="宋体"/>
                <w:lang w:eastAsia="zh-CN"/>
              </w:rPr>
              <w:t>。</w:t>
            </w:r>
          </w:p>
        </w:tc>
      </w:tr>
    </w:tbl>
    <w:p>
      <w:pPr>
        <w:rPr>
          <w:rFonts w:ascii="宋体" w:hAnsi="宋体"/>
        </w:rPr>
      </w:pPr>
      <w:r>
        <w:rPr>
          <w:rFonts w:hint="eastAsia" w:ascii="宋体" w:hAnsi="宋体"/>
        </w:rPr>
        <w:t xml:space="preserve">   </w:t>
      </w:r>
    </w:p>
    <w:p>
      <w:pPr>
        <w:pStyle w:val="59"/>
        <w:rPr>
          <w:color w:val="auto"/>
        </w:rPr>
      </w:pPr>
      <w:r>
        <w:rPr>
          <w:rFonts w:hint="eastAsia" w:ascii="黑体"/>
          <w:color w:val="auto"/>
        </w:rPr>
        <w:t>第六章</w:t>
      </w:r>
      <w:r>
        <w:rPr>
          <w:rFonts w:hint="eastAsia"/>
          <w:color w:val="auto"/>
        </w:rPr>
        <w:t xml:space="preserve"> </w:t>
      </w:r>
      <w:r>
        <w:rPr>
          <w:rFonts w:hint="eastAsia" w:ascii="黑体"/>
          <w:color w:val="auto"/>
        </w:rPr>
        <w:t>供应商须知</w:t>
      </w:r>
      <w:bookmarkEnd w:id="47"/>
    </w:p>
    <w:p>
      <w:pPr>
        <w:pStyle w:val="58"/>
        <w:rPr>
          <w:color w:val="auto"/>
        </w:rPr>
      </w:pPr>
      <w:bookmarkStart w:id="48" w:name="_Toc511899305"/>
      <w:bookmarkEnd w:id="48"/>
      <w:bookmarkStart w:id="49" w:name="_Toc9247"/>
      <w:r>
        <w:rPr>
          <w:rFonts w:hint="eastAsia"/>
          <w:color w:val="auto"/>
        </w:rPr>
        <w:t>一、总则</w:t>
      </w:r>
      <w:bookmarkEnd w:id="49"/>
    </w:p>
    <w:p>
      <w:pPr>
        <w:numPr>
          <w:ilvl w:val="0"/>
          <w:numId w:val="3"/>
        </w:numPr>
        <w:spacing w:line="500" w:lineRule="exact"/>
        <w:rPr>
          <w:rFonts w:ascii="宋体" w:hAnsi="宋体" w:cs="Arial"/>
          <w:b/>
          <w:bCs/>
        </w:rPr>
      </w:pPr>
      <w:r>
        <w:rPr>
          <w:rFonts w:hint="eastAsia" w:ascii="宋体" w:hAnsi="宋体" w:cs="Arial"/>
          <w:b/>
          <w:bCs/>
        </w:rPr>
        <w:t>适用范围</w:t>
      </w:r>
    </w:p>
    <w:p>
      <w:pPr>
        <w:spacing w:line="500" w:lineRule="exact"/>
        <w:ind w:left="267" w:leftChars="127" w:firstLine="210" w:firstLineChars="100"/>
        <w:rPr>
          <w:rFonts w:ascii="宋体" w:hAnsi="宋体" w:cs="Arial"/>
        </w:rPr>
      </w:pPr>
      <w:r>
        <w:rPr>
          <w:rFonts w:hint="eastAsia" w:ascii="宋体" w:hAnsi="宋体" w:cs="Arial"/>
        </w:rPr>
        <w:t>1.1本文件是根据《中华人民共和国政府采购法》等相关法律、法规制订。</w:t>
      </w:r>
    </w:p>
    <w:p>
      <w:pPr>
        <w:spacing w:line="500" w:lineRule="exact"/>
        <w:ind w:firstLine="525" w:firstLineChars="250"/>
        <w:rPr>
          <w:rFonts w:ascii="宋体" w:hAnsi="宋体" w:cs="Arial"/>
        </w:rPr>
      </w:pPr>
      <w:r>
        <w:rPr>
          <w:rFonts w:hint="eastAsia" w:ascii="宋体" w:hAnsi="宋体" w:cs="Arial"/>
        </w:rPr>
        <w:t>1.2本磋商文件的最终解释权归采购单位所有</w:t>
      </w:r>
    </w:p>
    <w:p>
      <w:pPr>
        <w:spacing w:line="500" w:lineRule="exact"/>
        <w:ind w:firstLine="517" w:firstLineChars="245"/>
        <w:rPr>
          <w:rFonts w:ascii="宋体" w:hAnsi="宋体" w:cs="Arial"/>
          <w:b/>
          <w:bCs/>
        </w:rPr>
      </w:pPr>
      <w:r>
        <w:rPr>
          <w:rFonts w:hint="eastAsia" w:ascii="宋体" w:hAnsi="宋体" w:cs="Arial"/>
          <w:b/>
          <w:bCs/>
        </w:rPr>
        <w:t>2、定义</w:t>
      </w:r>
    </w:p>
    <w:p>
      <w:pPr>
        <w:spacing w:line="500" w:lineRule="exact"/>
        <w:ind w:firstLine="525" w:firstLineChars="250"/>
        <w:rPr>
          <w:rFonts w:ascii="宋体" w:hAnsi="宋体" w:cs="Arial"/>
        </w:rPr>
      </w:pPr>
      <w:r>
        <w:rPr>
          <w:rFonts w:hint="eastAsia" w:ascii="宋体" w:hAnsi="宋体" w:cs="Arial"/>
        </w:rPr>
        <w:t>2.</w:t>
      </w:r>
      <w:r>
        <w:rPr>
          <w:rFonts w:hint="eastAsia" w:ascii="宋体" w:hAnsi="宋体" w:cs="Arial"/>
          <w:color w:val="auto"/>
          <w:highlight w:val="none"/>
        </w:rPr>
        <w:t>1货物服务：既是指本范本适用于货物采购或服务采购，也是指货物采购所伴随的服务或服务采购中伴随的货物采购。</w:t>
      </w:r>
    </w:p>
    <w:p>
      <w:pPr>
        <w:tabs>
          <w:tab w:val="center" w:pos="4153"/>
        </w:tabs>
        <w:spacing w:line="500" w:lineRule="exact"/>
        <w:ind w:firstLine="525" w:firstLineChars="250"/>
        <w:rPr>
          <w:rFonts w:ascii="宋体" w:hAnsi="宋体" w:cs="Arial"/>
        </w:rPr>
      </w:pPr>
      <w:r>
        <w:rPr>
          <w:rFonts w:hint="eastAsia" w:ascii="宋体" w:hAnsi="宋体" w:cs="Arial"/>
        </w:rPr>
        <w:t>2.2工程：既是指本范本适用于</w:t>
      </w:r>
      <w:r>
        <w:rPr>
          <w:rFonts w:hint="eastAsia" w:ascii="宋体" w:hAnsi="宋体" w:cs="Arial"/>
        </w:rPr>
        <w:tab/>
      </w:r>
      <w:r>
        <w:rPr>
          <w:rFonts w:hint="eastAsia" w:ascii="宋体" w:hAnsi="宋体" w:cs="Arial"/>
        </w:rPr>
        <w:t>按照招标投标法及其实施条例必须进行招标的工程建设项目以外的</w:t>
      </w:r>
      <w:r>
        <w:rPr>
          <w:rFonts w:ascii="宋体" w:hAnsi="宋体" w:cs="Arial"/>
        </w:rPr>
        <w:t>工程建设项目。</w:t>
      </w:r>
    </w:p>
    <w:p>
      <w:pPr>
        <w:spacing w:line="500" w:lineRule="exact"/>
        <w:ind w:firstLine="525" w:firstLineChars="250"/>
        <w:rPr>
          <w:rFonts w:ascii="宋体" w:hAnsi="宋体" w:cs="Arial"/>
        </w:rPr>
      </w:pPr>
      <w:r>
        <w:rPr>
          <w:rFonts w:hint="eastAsia" w:ascii="宋体" w:hAnsi="宋体" w:cs="Arial"/>
        </w:rPr>
        <w:t>2.3采购单位：是指具体负责和从事采购业务的集中采购机构、社会中介代理机构和采购人（采购人）的总称。</w:t>
      </w:r>
    </w:p>
    <w:p>
      <w:pPr>
        <w:spacing w:line="500" w:lineRule="exact"/>
        <w:ind w:firstLine="413" w:firstLineChars="196"/>
        <w:rPr>
          <w:rFonts w:ascii="宋体" w:hAnsi="宋体" w:cs="Arial"/>
          <w:b/>
          <w:bCs/>
        </w:rPr>
      </w:pPr>
      <w:r>
        <w:rPr>
          <w:rFonts w:hint="eastAsia" w:ascii="宋体" w:hAnsi="宋体" w:cs="Arial"/>
          <w:b/>
          <w:bCs/>
        </w:rPr>
        <w:t xml:space="preserve">3、供应商要求 </w:t>
      </w:r>
    </w:p>
    <w:p>
      <w:pPr>
        <w:spacing w:line="500" w:lineRule="exact"/>
        <w:rPr>
          <w:rFonts w:ascii="宋体" w:hAnsi="宋体" w:cs="Arial"/>
        </w:rPr>
      </w:pPr>
      <w:bookmarkStart w:id="50" w:name="_Toc12596"/>
      <w:bookmarkEnd w:id="50"/>
      <w:bookmarkStart w:id="51" w:name="_Toc9010"/>
      <w:bookmarkEnd w:id="51"/>
      <w:bookmarkStart w:id="52" w:name="_Toc8996"/>
      <w:r>
        <w:rPr>
          <w:rFonts w:hint="eastAsia" w:ascii="宋体" w:hAnsi="宋体"/>
        </w:rPr>
        <w:t xml:space="preserve">    </w:t>
      </w:r>
      <w:bookmarkEnd w:id="52"/>
      <w:r>
        <w:rPr>
          <w:rFonts w:hint="eastAsia" w:ascii="宋体" w:hAnsi="宋体" w:cs="Arial"/>
          <w:b/>
          <w:bCs/>
        </w:rPr>
        <w:t>3.1 供应商资格要求详见竞争性磋商公告</w:t>
      </w:r>
      <w:r>
        <w:rPr>
          <w:rFonts w:hint="eastAsia" w:ascii="宋体" w:hAnsi="宋体" w:cs="Arial"/>
        </w:rPr>
        <w:t>。</w:t>
      </w:r>
    </w:p>
    <w:p>
      <w:pPr>
        <w:spacing w:line="500" w:lineRule="exact"/>
        <w:ind w:firstLine="420" w:firstLineChars="200"/>
        <w:rPr>
          <w:rFonts w:ascii="宋体" w:hAnsi="宋体" w:cs="Arial"/>
        </w:rPr>
      </w:pPr>
      <w:r>
        <w:rPr>
          <w:rFonts w:hint="eastAsia" w:ascii="宋体" w:hAnsi="宋体" w:cs="Arial"/>
        </w:rPr>
        <w:t>3.2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00" w:lineRule="exact"/>
        <w:ind w:firstLine="210" w:firstLineChars="100"/>
        <w:rPr>
          <w:rFonts w:ascii="宋体" w:hAnsi="宋体" w:cs="Arial"/>
        </w:rPr>
      </w:pPr>
      <w:r>
        <w:rPr>
          <w:rFonts w:hint="eastAsia" w:ascii="宋体" w:hAnsi="宋体" w:cs="Arial"/>
        </w:rPr>
        <w:t>3.3供应商存在以下不良信用记录情形之一的，不得推荐为成交候选供应商，不得确定为成交供应商：</w:t>
      </w:r>
    </w:p>
    <w:p>
      <w:pPr>
        <w:spacing w:line="500" w:lineRule="exact"/>
        <w:ind w:firstLine="210" w:firstLineChars="100"/>
        <w:rPr>
          <w:rFonts w:ascii="宋体" w:hAnsi="宋体" w:cs="Arial"/>
        </w:rPr>
      </w:pPr>
      <w:r>
        <w:rPr>
          <w:rFonts w:hint="eastAsia" w:ascii="宋体" w:hAnsi="宋体" w:cs="Arial"/>
        </w:rPr>
        <w:t>（1）供应商被人民法院列入失信被执行人的；</w:t>
      </w:r>
    </w:p>
    <w:p>
      <w:pPr>
        <w:spacing w:line="500" w:lineRule="exact"/>
        <w:ind w:firstLine="210" w:firstLineChars="100"/>
        <w:rPr>
          <w:rFonts w:ascii="宋体" w:hAnsi="宋体" w:cs="Arial"/>
        </w:rPr>
      </w:pPr>
      <w:r>
        <w:rPr>
          <w:rFonts w:hint="eastAsia" w:ascii="宋体" w:hAnsi="宋体" w:cs="Arial"/>
        </w:rPr>
        <w:t>（2）供应商或其法定代表人或拟派项目经理（项目负责人）被列入行贿犯罪档案的；</w:t>
      </w:r>
    </w:p>
    <w:p>
      <w:pPr>
        <w:spacing w:line="500" w:lineRule="exact"/>
        <w:ind w:firstLine="210" w:firstLineChars="100"/>
        <w:rPr>
          <w:rFonts w:ascii="宋体" w:hAnsi="宋体" w:cs="Arial"/>
        </w:rPr>
      </w:pPr>
      <w:r>
        <w:rPr>
          <w:rFonts w:hint="eastAsia" w:ascii="宋体" w:hAnsi="宋体" w:cs="Arial"/>
        </w:rPr>
        <w:t>（3）供应商被工商行政管理部门列入企业经营异常名录的；</w:t>
      </w:r>
    </w:p>
    <w:p>
      <w:pPr>
        <w:spacing w:line="500" w:lineRule="exact"/>
        <w:ind w:firstLine="210" w:firstLineChars="100"/>
        <w:rPr>
          <w:rFonts w:ascii="宋体" w:hAnsi="宋体" w:cs="Arial"/>
        </w:rPr>
      </w:pPr>
      <w:r>
        <w:rPr>
          <w:rFonts w:hint="eastAsia" w:ascii="宋体" w:hAnsi="宋体" w:cs="Arial"/>
        </w:rPr>
        <w:t>（4）供应商被税务部门列入重大税收违法案件当事人名单的；</w:t>
      </w:r>
    </w:p>
    <w:p>
      <w:pPr>
        <w:spacing w:line="500" w:lineRule="exact"/>
        <w:ind w:firstLine="420" w:firstLineChars="200"/>
        <w:rPr>
          <w:rFonts w:ascii="宋体" w:hAnsi="宋体" w:cs="Arial"/>
        </w:rPr>
      </w:pPr>
      <w:r>
        <w:rPr>
          <w:rFonts w:hint="eastAsia" w:ascii="宋体" w:hAnsi="宋体" w:cs="Arial"/>
        </w:rPr>
        <w:t>以上情形第（1）（3）（4）以“信用中国”（http://www.creditchina.gov.cn）或其他指定媒介[国家税务总局网站（www.chinatax.gov.cn）、中国政府采购网（www.ccgp.gov.cn）、国家企业信用信息公示系统网站（www.gsxt.gov.cn）]发布的为准，查询截止时点为投标截止时间。</w:t>
      </w:r>
    </w:p>
    <w:p>
      <w:pPr>
        <w:spacing w:line="500" w:lineRule="exact"/>
        <w:ind w:firstLine="499" w:firstLineChars="238"/>
        <w:rPr>
          <w:rFonts w:ascii="宋体" w:hAnsi="宋体" w:cs="Arial"/>
        </w:rPr>
      </w:pPr>
      <w:r>
        <w:rPr>
          <w:rFonts w:hint="eastAsia" w:ascii="宋体" w:hAnsi="宋体" w:cs="Arial"/>
        </w:rPr>
        <w:t>情形（2）由供应商提供无行贿犯罪记录承诺函。</w:t>
      </w:r>
    </w:p>
    <w:p>
      <w:pPr>
        <w:numPr>
          <w:ilvl w:val="0"/>
          <w:numId w:val="4"/>
        </w:numPr>
        <w:spacing w:line="500" w:lineRule="exact"/>
        <w:rPr>
          <w:rFonts w:ascii="宋体" w:hAnsi="宋体" w:cs="Arial"/>
          <w:b/>
          <w:bCs/>
        </w:rPr>
      </w:pPr>
      <w:r>
        <w:rPr>
          <w:rFonts w:hint="eastAsia" w:ascii="宋体" w:hAnsi="宋体" w:cs="Arial"/>
          <w:b/>
          <w:bCs/>
        </w:rPr>
        <w:t>供应商参与磋商活动的费用</w:t>
      </w:r>
    </w:p>
    <w:p>
      <w:pPr>
        <w:spacing w:line="500" w:lineRule="exact"/>
        <w:ind w:firstLine="499" w:firstLineChars="238"/>
        <w:rPr>
          <w:rFonts w:ascii="宋体" w:hAnsi="宋体" w:cs="Arial"/>
        </w:rPr>
      </w:pPr>
      <w:r>
        <w:rPr>
          <w:rFonts w:hint="eastAsia" w:ascii="宋体" w:hAnsi="宋体" w:cs="Arial"/>
        </w:rPr>
        <w:t>4.1供应商必须自行承担所有与参加采购活动的有关费用。不论结果如何，采购单位在任何情况下均无义务和责任承担这些费用。</w:t>
      </w:r>
    </w:p>
    <w:p>
      <w:pPr>
        <w:spacing w:line="500" w:lineRule="exact"/>
        <w:ind w:firstLine="632" w:firstLineChars="300"/>
        <w:rPr>
          <w:rFonts w:ascii="宋体" w:hAnsi="宋体" w:cs="Arial"/>
          <w:b/>
          <w:bCs/>
        </w:rPr>
      </w:pPr>
      <w:r>
        <w:rPr>
          <w:rFonts w:hint="eastAsia" w:ascii="宋体" w:hAnsi="宋体" w:cs="Arial"/>
          <w:b/>
          <w:bCs/>
        </w:rPr>
        <w:t>5、保密</w:t>
      </w:r>
    </w:p>
    <w:p>
      <w:pPr>
        <w:spacing w:line="500" w:lineRule="exact"/>
        <w:ind w:firstLine="420" w:firstLineChars="200"/>
        <w:rPr>
          <w:rFonts w:ascii="宋体" w:hAnsi="宋体" w:cs="Arial"/>
        </w:rPr>
      </w:pPr>
      <w:r>
        <w:rPr>
          <w:rFonts w:hint="eastAsia" w:ascii="宋体" w:hAnsi="宋体" w:cs="Arial"/>
        </w:rPr>
        <w:t>参与政府采购活动的各方主体应对磋商文件和磋商响应文件中的商业和技术等秘密保密，违者应对由此造成的后果承担法律责任。</w:t>
      </w:r>
    </w:p>
    <w:p>
      <w:pPr>
        <w:spacing w:line="500" w:lineRule="exact"/>
        <w:ind w:firstLine="632" w:firstLineChars="300"/>
        <w:rPr>
          <w:rFonts w:ascii="宋体" w:hAnsi="宋体" w:cs="Arial"/>
          <w:b/>
          <w:bCs/>
        </w:rPr>
      </w:pPr>
      <w:r>
        <w:rPr>
          <w:rFonts w:hint="eastAsia" w:ascii="宋体" w:hAnsi="宋体" w:cs="Arial"/>
          <w:b/>
          <w:bCs/>
        </w:rPr>
        <w:t>6、语言文字</w:t>
      </w:r>
    </w:p>
    <w:p>
      <w:pPr>
        <w:spacing w:line="500" w:lineRule="exact"/>
        <w:rPr>
          <w:rFonts w:ascii="宋体" w:hAnsi="宋体"/>
        </w:rPr>
      </w:pPr>
      <w:r>
        <w:rPr>
          <w:rFonts w:hint="eastAsia" w:ascii="宋体" w:hAnsi="宋体"/>
        </w:rPr>
        <w:t xml:space="preserve">    磋商及磋商响应文件使用的语言文字、</w:t>
      </w:r>
      <w:r>
        <w:rPr>
          <w:rFonts w:hint="eastAsia" w:ascii="宋体" w:hAnsi="宋体" w:cs="Arial"/>
        </w:rPr>
        <w:t>以及供应商与采购单位就磋商相关事项的所有往来函电均须使用</w:t>
      </w:r>
      <w:r>
        <w:rPr>
          <w:rFonts w:hint="eastAsia" w:ascii="宋体" w:hAnsi="宋体"/>
        </w:rPr>
        <w:t>简体中文（部分专用术语需使用外文的除外）。</w:t>
      </w:r>
    </w:p>
    <w:p>
      <w:pPr>
        <w:spacing w:line="500" w:lineRule="exact"/>
        <w:ind w:firstLine="632" w:firstLineChars="300"/>
        <w:rPr>
          <w:rFonts w:ascii="宋体" w:hAnsi="宋体" w:cs="Arial"/>
          <w:b/>
          <w:bCs/>
        </w:rPr>
      </w:pPr>
      <w:r>
        <w:rPr>
          <w:rFonts w:hint="eastAsia" w:ascii="宋体" w:hAnsi="宋体" w:cs="Arial"/>
          <w:b/>
          <w:bCs/>
        </w:rPr>
        <w:t>7、计量单位</w:t>
      </w:r>
    </w:p>
    <w:p>
      <w:pPr>
        <w:pStyle w:val="62"/>
        <w:widowControl w:val="0"/>
        <w:spacing w:line="500" w:lineRule="exact"/>
        <w:ind w:firstLine="420"/>
        <w:rPr>
          <w:rFonts w:ascii="宋体" w:hAnsi="宋体"/>
        </w:rPr>
      </w:pPr>
      <w:r>
        <w:rPr>
          <w:rFonts w:hint="eastAsia" w:ascii="宋体" w:hAnsi="宋体"/>
        </w:rPr>
        <w:t>所有计量均采用中华人民共和国法定计量单位。</w:t>
      </w:r>
    </w:p>
    <w:p>
      <w:pPr>
        <w:spacing w:line="500" w:lineRule="exact"/>
        <w:ind w:firstLine="632" w:firstLineChars="300"/>
        <w:rPr>
          <w:rFonts w:ascii="宋体" w:hAnsi="宋体" w:cs="Arial"/>
          <w:b/>
          <w:bCs/>
        </w:rPr>
      </w:pPr>
      <w:r>
        <w:rPr>
          <w:rFonts w:hint="eastAsia" w:ascii="宋体" w:hAnsi="宋体" w:cs="Arial"/>
          <w:b/>
          <w:bCs/>
        </w:rPr>
        <w:t>8、勘察现场</w:t>
      </w:r>
    </w:p>
    <w:p>
      <w:pPr>
        <w:spacing w:line="500" w:lineRule="exact"/>
        <w:ind w:firstLine="420" w:firstLineChars="200"/>
        <w:rPr>
          <w:rFonts w:ascii="宋体" w:hAnsi="宋体" w:cs="Arial"/>
        </w:rPr>
      </w:pPr>
      <w:r>
        <w:rPr>
          <w:rFonts w:hint="eastAsia" w:ascii="宋体" w:hAnsi="宋体" w:cs="Arial"/>
        </w:rPr>
        <w:t>采购单位根据项目的具体情况，可以组织潜在供应商现场考察或者召开开标前答疑会，但不得单独或者分别组织只有一个供应商参加的现场考察。</w:t>
      </w:r>
    </w:p>
    <w:p>
      <w:pPr>
        <w:spacing w:line="500" w:lineRule="exact"/>
        <w:ind w:firstLine="632" w:firstLineChars="300"/>
        <w:rPr>
          <w:rFonts w:ascii="宋体" w:hAnsi="宋体" w:cs="Arial"/>
          <w:b/>
          <w:bCs/>
        </w:rPr>
      </w:pPr>
      <w:r>
        <w:rPr>
          <w:rFonts w:hint="eastAsia" w:ascii="宋体" w:hAnsi="宋体" w:cs="Arial"/>
          <w:b/>
          <w:bCs/>
        </w:rPr>
        <w:t>9、偏离</w:t>
      </w:r>
    </w:p>
    <w:p>
      <w:pPr>
        <w:spacing w:line="500" w:lineRule="exact"/>
        <w:ind w:firstLine="420" w:firstLineChars="200"/>
        <w:rPr>
          <w:rFonts w:ascii="宋体" w:hAnsi="宋体" w:cs="Arial"/>
        </w:rPr>
      </w:pPr>
      <w:r>
        <w:rPr>
          <w:rFonts w:hint="eastAsia" w:ascii="宋体" w:hAnsi="宋体"/>
        </w:rPr>
        <w:t>磋商文件允许磋商响应文件偏离某些要求的，偏离应当符合磋商文件规定的偏离范围和幅度。</w:t>
      </w:r>
    </w:p>
    <w:p>
      <w:pPr>
        <w:pStyle w:val="58"/>
        <w:rPr>
          <w:color w:val="auto"/>
        </w:rPr>
      </w:pPr>
      <w:bookmarkStart w:id="53" w:name="_Toc511899306"/>
      <w:bookmarkEnd w:id="53"/>
      <w:bookmarkStart w:id="54" w:name="_Toc15998"/>
      <w:r>
        <w:rPr>
          <w:rFonts w:hint="eastAsia"/>
          <w:color w:val="auto"/>
        </w:rPr>
        <w:t>二、竞争性磋商文件</w:t>
      </w:r>
      <w:bookmarkEnd w:id="54"/>
    </w:p>
    <w:p>
      <w:pPr>
        <w:numPr>
          <w:ilvl w:val="1"/>
          <w:numId w:val="5"/>
        </w:numPr>
        <w:spacing w:line="500" w:lineRule="exact"/>
        <w:rPr>
          <w:rFonts w:ascii="宋体" w:hAnsi="宋体" w:cs="Arial"/>
          <w:b/>
          <w:bCs/>
        </w:rPr>
      </w:pPr>
      <w:r>
        <w:rPr>
          <w:rFonts w:hint="eastAsia" w:ascii="宋体" w:hAnsi="宋体" w:cs="Arial"/>
          <w:b/>
          <w:bCs/>
        </w:rPr>
        <w:t>竞争性磋商文件构成</w:t>
      </w:r>
    </w:p>
    <w:p>
      <w:pPr>
        <w:spacing w:line="500" w:lineRule="exact"/>
        <w:ind w:firstLine="420" w:firstLineChars="200"/>
        <w:rPr>
          <w:rFonts w:ascii="宋体" w:hAnsi="宋体" w:cs="Arial"/>
        </w:rPr>
      </w:pPr>
      <w:r>
        <w:rPr>
          <w:rFonts w:hint="eastAsia" w:ascii="宋体" w:hAnsi="宋体" w:cs="Arial"/>
        </w:rPr>
        <w:t>10.1竞争性磋商文件包括：</w:t>
      </w:r>
    </w:p>
    <w:p>
      <w:pPr>
        <w:spacing w:line="540" w:lineRule="exact"/>
        <w:ind w:firstLine="518" w:firstLineChars="247"/>
        <w:rPr>
          <w:rFonts w:ascii="宋体" w:hAnsi="宋体" w:cs="Arial"/>
        </w:rPr>
      </w:pPr>
      <w:r>
        <w:rPr>
          <w:rFonts w:hint="eastAsia" w:ascii="宋体" w:hAnsi="宋体" w:cs="Arial"/>
        </w:rPr>
        <w:t>第一章 竞争性磋商公告</w:t>
      </w:r>
    </w:p>
    <w:p>
      <w:pPr>
        <w:spacing w:line="540" w:lineRule="exact"/>
        <w:ind w:firstLine="518" w:firstLineChars="247"/>
        <w:rPr>
          <w:rFonts w:ascii="宋体" w:hAnsi="宋体" w:cs="Arial"/>
        </w:rPr>
      </w:pPr>
      <w:r>
        <w:rPr>
          <w:rFonts w:hint="eastAsia" w:ascii="宋体" w:hAnsi="宋体" w:cs="Arial"/>
        </w:rPr>
        <w:t>第二章 供应商须知前附表</w:t>
      </w:r>
    </w:p>
    <w:p>
      <w:pPr>
        <w:spacing w:line="540" w:lineRule="exact"/>
        <w:rPr>
          <w:rFonts w:ascii="宋体" w:hAnsi="宋体" w:cs="Arial"/>
        </w:rPr>
      </w:pPr>
      <w:r>
        <w:rPr>
          <w:rFonts w:hint="eastAsia" w:ascii="宋体" w:hAnsi="宋体" w:cs="Arial"/>
        </w:rPr>
        <w:t xml:space="preserve">     第三章 货物服务要求/项目要求</w:t>
      </w:r>
    </w:p>
    <w:p>
      <w:pPr>
        <w:spacing w:line="540" w:lineRule="exact"/>
        <w:ind w:firstLine="525" w:firstLineChars="250"/>
        <w:rPr>
          <w:rFonts w:ascii="宋体" w:hAnsi="宋体"/>
        </w:rPr>
      </w:pPr>
      <w:r>
        <w:rPr>
          <w:rFonts w:hint="eastAsia" w:ascii="宋体" w:hAnsi="宋体" w:cs="Arial"/>
        </w:rPr>
        <w:t xml:space="preserve">第四章 </w:t>
      </w:r>
      <w:r>
        <w:rPr>
          <w:rFonts w:hint="eastAsia" w:ascii="宋体" w:hAnsi="宋体"/>
        </w:rPr>
        <w:t>实质性响应审查</w:t>
      </w:r>
    </w:p>
    <w:p>
      <w:pPr>
        <w:spacing w:line="540" w:lineRule="exact"/>
        <w:ind w:firstLine="525" w:firstLineChars="250"/>
        <w:rPr>
          <w:rFonts w:ascii="宋体" w:hAnsi="宋体" w:cs="Arial"/>
        </w:rPr>
      </w:pPr>
      <w:r>
        <w:rPr>
          <w:rFonts w:hint="eastAsia" w:ascii="宋体" w:hAnsi="宋体"/>
        </w:rPr>
        <w:t>第五章 评分办法</w:t>
      </w:r>
    </w:p>
    <w:p>
      <w:pPr>
        <w:spacing w:line="540" w:lineRule="exact"/>
        <w:ind w:firstLine="518" w:firstLineChars="247"/>
        <w:rPr>
          <w:rFonts w:ascii="宋体" w:hAnsi="宋体" w:cs="Arial"/>
        </w:rPr>
      </w:pPr>
      <w:r>
        <w:rPr>
          <w:rFonts w:hint="eastAsia" w:ascii="宋体" w:hAnsi="宋体" w:cs="Arial"/>
        </w:rPr>
        <w:t>第六章 供应商须知</w:t>
      </w:r>
    </w:p>
    <w:p>
      <w:pPr>
        <w:spacing w:line="540" w:lineRule="exact"/>
        <w:ind w:firstLine="518" w:firstLineChars="247"/>
        <w:rPr>
          <w:rFonts w:ascii="宋体" w:hAnsi="宋体" w:cs="Arial"/>
        </w:rPr>
      </w:pPr>
      <w:r>
        <w:rPr>
          <w:rFonts w:hint="eastAsia" w:ascii="宋体" w:hAnsi="宋体" w:cs="Arial"/>
        </w:rPr>
        <w:t>第七章 合同格式</w:t>
      </w:r>
    </w:p>
    <w:p>
      <w:pPr>
        <w:spacing w:line="500" w:lineRule="exact"/>
        <w:ind w:firstLine="525" w:firstLineChars="250"/>
        <w:rPr>
          <w:rFonts w:ascii="宋体" w:hAnsi="宋体" w:cs="Arial"/>
        </w:rPr>
      </w:pPr>
      <w:r>
        <w:rPr>
          <w:rFonts w:hint="eastAsia" w:ascii="宋体" w:hAnsi="宋体" w:cs="Arial"/>
        </w:rPr>
        <w:t>第八章 磋商响应文件</w:t>
      </w:r>
    </w:p>
    <w:p>
      <w:pPr>
        <w:spacing w:line="500" w:lineRule="exact"/>
        <w:ind w:left="267" w:leftChars="127" w:firstLine="420" w:firstLineChars="200"/>
        <w:rPr>
          <w:rFonts w:ascii="宋体" w:hAnsi="宋体" w:cs="Arial"/>
        </w:rPr>
      </w:pPr>
      <w:r>
        <w:rPr>
          <w:rFonts w:hint="eastAsia" w:ascii="宋体" w:hAnsi="宋体" w:cs="Arial"/>
        </w:rPr>
        <w:t>10.2供应商应认真阅读和充分理解竞争性磋商文件中所有的内容。如果其磋商响应书没有满足竞争性磋商文件的有关要求，其风险由供应商自行承担。</w:t>
      </w:r>
    </w:p>
    <w:p>
      <w:pPr>
        <w:spacing w:line="500" w:lineRule="exact"/>
        <w:ind w:firstLine="632" w:firstLineChars="300"/>
        <w:rPr>
          <w:rFonts w:ascii="宋体" w:hAnsi="宋体" w:cs="Arial"/>
          <w:b/>
          <w:bCs/>
        </w:rPr>
      </w:pPr>
      <w:r>
        <w:rPr>
          <w:rFonts w:hint="eastAsia" w:ascii="宋体" w:hAnsi="宋体" w:cs="Arial"/>
          <w:b/>
          <w:bCs/>
        </w:rPr>
        <w:t>11、竞争性磋商文件的澄清和修改</w:t>
      </w:r>
    </w:p>
    <w:p>
      <w:pPr>
        <w:spacing w:line="500" w:lineRule="exact"/>
        <w:ind w:firstLine="525" w:firstLineChars="250"/>
        <w:rPr>
          <w:rFonts w:ascii="宋体" w:hAnsi="宋体" w:cs="Arial"/>
        </w:rPr>
      </w:pPr>
      <w:r>
        <w:rPr>
          <w:rFonts w:hint="eastAsia" w:ascii="宋体" w:hAnsi="宋体" w:cs="Arial"/>
        </w:rPr>
        <w:t>11.1</w:t>
      </w:r>
      <w:r>
        <w:rPr>
          <w:rFonts w:hint="eastAsia" w:ascii="宋体" w:hAnsi="宋体" w:cs="Arial"/>
          <w:b/>
          <w:bCs/>
        </w:rPr>
        <w:t>采购人可以对竞争性磋商文件中的有关问题进行澄清、修改。</w:t>
      </w:r>
    </w:p>
    <w:p>
      <w:pPr>
        <w:spacing w:line="500" w:lineRule="exact"/>
        <w:ind w:firstLine="525" w:firstLineChars="250"/>
        <w:rPr>
          <w:rFonts w:ascii="宋体" w:hAnsi="宋体"/>
        </w:rPr>
      </w:pPr>
      <w:r>
        <w:rPr>
          <w:rFonts w:hint="eastAsia" w:ascii="宋体" w:hAnsi="宋体" w:cs="Arial"/>
        </w:rPr>
        <w:t>11.2</w:t>
      </w:r>
      <w:r>
        <w:rPr>
          <w:rFonts w:hint="eastAsia" w:ascii="宋体" w:hAnsi="宋体"/>
        </w:rPr>
        <w:t>采购人、代理机构或者磋商小组在提交首次磋商响应文件截止时间前可以对已发出的竞争性磋商文件进行必要的澄清或者修改，澄清或修改将在本项目宿州交通文化旅游投资集团有限公司</w:t>
      </w:r>
      <w:r>
        <w:rPr>
          <w:rFonts w:ascii="宋体" w:hAnsi="宋体"/>
        </w:rPr>
        <w:t>网</w:t>
      </w:r>
      <w:r>
        <w:rPr>
          <w:rFonts w:hint="eastAsia" w:ascii="宋体" w:hAnsi="宋体"/>
        </w:rPr>
        <w:t>站答疑澄清栏中公布，但不指明问题的来源，所有潜在供应商均有义务自行查看该澄清或修改的内容。采购人、代理机构或者磋商小组</w:t>
      </w:r>
      <w:r>
        <w:rPr>
          <w:rFonts w:hint="eastAsia" w:ascii="宋体" w:hAnsi="宋体" w:cs="Arial"/>
        </w:rPr>
        <w:t>对竞争性磋商文件进行</w:t>
      </w:r>
      <w:r>
        <w:rPr>
          <w:rFonts w:hint="eastAsia" w:ascii="宋体" w:hAnsi="宋体"/>
        </w:rPr>
        <w:t>澄清或者修改的内容作为磋商文件的组成部分。澄清或者修改的内容可能影响响应文件编制的，采购人或者代理机构应当在递交首次磋商响应文件截止之日5日前发布，不足</w:t>
      </w:r>
      <w:r>
        <w:rPr>
          <w:rFonts w:hint="eastAsia"/>
        </w:rPr>
        <w:t>5</w:t>
      </w:r>
      <w:r>
        <w:rPr>
          <w:rFonts w:hint="eastAsia" w:ascii="宋体" w:hAnsi="宋体"/>
        </w:rPr>
        <w:t>日的，应当顺延提交响应文件截止之日。</w:t>
      </w:r>
    </w:p>
    <w:p>
      <w:pPr>
        <w:spacing w:line="500" w:lineRule="exact"/>
        <w:ind w:firstLine="527" w:firstLineChars="250"/>
        <w:rPr>
          <w:rFonts w:ascii="宋体" w:hAnsi="宋体" w:cs="Arial"/>
        </w:rPr>
      </w:pPr>
      <w:r>
        <w:rPr>
          <w:rFonts w:hint="eastAsia" w:ascii="宋体" w:hAnsi="宋体" w:cs="Arial"/>
          <w:b/>
          <w:bCs/>
        </w:rPr>
        <w:t>12、竞争性磋商文件</w:t>
      </w:r>
      <w:r>
        <w:rPr>
          <w:rFonts w:hint="eastAsia" w:ascii="宋体" w:hAnsi="宋体"/>
          <w:b/>
          <w:bCs/>
        </w:rPr>
        <w:t>的质疑和答复</w:t>
      </w:r>
    </w:p>
    <w:p>
      <w:pPr>
        <w:pStyle w:val="62"/>
        <w:widowControl w:val="0"/>
        <w:spacing w:line="500" w:lineRule="exact"/>
        <w:ind w:firstLine="420"/>
        <w:rPr>
          <w:rFonts w:ascii="宋体" w:hAnsi="宋体"/>
        </w:rPr>
      </w:pPr>
      <w:r>
        <w:rPr>
          <w:rFonts w:hint="eastAsia" w:ascii="宋体" w:hAnsi="宋体"/>
        </w:rPr>
        <w:t>12.1</w:t>
      </w:r>
      <w:r>
        <w:rPr>
          <w:rFonts w:ascii="宋体" w:hAnsi="宋体" w:cs="Arial"/>
        </w:rPr>
        <w:t>潜在供应商已依法获取</w:t>
      </w:r>
      <w:r>
        <w:rPr>
          <w:rFonts w:hint="eastAsia" w:ascii="宋体" w:hAnsi="宋体" w:cs="Arial"/>
        </w:rPr>
        <w:t>本磋商</w:t>
      </w:r>
      <w:r>
        <w:rPr>
          <w:rFonts w:ascii="宋体" w:hAnsi="宋体" w:cs="Arial"/>
        </w:rPr>
        <w:t>文件的</w:t>
      </w:r>
      <w:r>
        <w:rPr>
          <w:rFonts w:hint="eastAsia" w:ascii="宋体" w:hAnsi="宋体" w:cs="Arial"/>
        </w:rPr>
        <w:t>（应提供依法获取磋商文件的证明材料）</w:t>
      </w:r>
      <w:r>
        <w:rPr>
          <w:rFonts w:ascii="宋体" w:hAnsi="宋体" w:cs="Arial"/>
        </w:rPr>
        <w:t>，可以对</w:t>
      </w:r>
      <w:r>
        <w:rPr>
          <w:rFonts w:hint="eastAsia" w:ascii="宋体" w:hAnsi="宋体" w:cs="Arial"/>
        </w:rPr>
        <w:t>本磋商</w:t>
      </w:r>
      <w:r>
        <w:rPr>
          <w:rFonts w:ascii="宋体" w:hAnsi="宋体" w:cs="Arial"/>
        </w:rPr>
        <w:t>文件提出质疑。</w:t>
      </w:r>
      <w:r>
        <w:rPr>
          <w:rFonts w:hint="eastAsia" w:ascii="宋体" w:hAnsi="宋体" w:cs="Arial"/>
        </w:rPr>
        <w:t>质疑</w:t>
      </w:r>
      <w:r>
        <w:rPr>
          <w:rFonts w:ascii="宋体" w:hAnsi="宋体" w:cs="Arial"/>
        </w:rPr>
        <w:t>应当在获取</w:t>
      </w:r>
      <w:r>
        <w:rPr>
          <w:rFonts w:hint="eastAsia" w:ascii="宋体" w:hAnsi="宋体" w:cs="Arial"/>
        </w:rPr>
        <w:t>磋商</w:t>
      </w:r>
      <w:r>
        <w:rPr>
          <w:rFonts w:ascii="宋体" w:hAnsi="宋体" w:cs="Arial"/>
        </w:rPr>
        <w:t>文件或者</w:t>
      </w:r>
      <w:r>
        <w:rPr>
          <w:rFonts w:hint="eastAsia" w:ascii="宋体" w:hAnsi="宋体" w:cs="Arial"/>
        </w:rPr>
        <w:t>磋商</w:t>
      </w:r>
      <w:r>
        <w:rPr>
          <w:rFonts w:ascii="宋体" w:hAnsi="宋体" w:cs="Arial"/>
        </w:rPr>
        <w:t>文件公告期限届满之日起</w:t>
      </w:r>
      <w:r>
        <w:rPr>
          <w:rFonts w:ascii="Arial" w:hAnsi="Arial" w:cs="Arial"/>
        </w:rPr>
        <w:t>7</w:t>
      </w:r>
      <w:r>
        <w:rPr>
          <w:rFonts w:ascii="宋体" w:hAnsi="宋体" w:cs="Arial"/>
        </w:rPr>
        <w:t>个工作日内</w:t>
      </w:r>
      <w:r>
        <w:rPr>
          <w:rFonts w:hint="eastAsia" w:ascii="宋体" w:hAnsi="宋体"/>
        </w:rPr>
        <w:t>以书面形式向采购人或代理机构提出，质疑函的内容应包括</w:t>
      </w:r>
      <w:r>
        <w:rPr>
          <w:rFonts w:ascii="宋体" w:hAnsi="宋体" w:cs="Arial"/>
        </w:rPr>
        <w:t>《政府采购质疑和投诉办法》</w:t>
      </w:r>
      <w:r>
        <w:rPr>
          <w:rFonts w:hint="eastAsia" w:ascii="宋体" w:hAnsi="宋体" w:cs="Arial"/>
        </w:rPr>
        <w:t>（财政部令第</w:t>
      </w:r>
      <w:r>
        <w:rPr>
          <w:rFonts w:hint="eastAsia" w:ascii="Arial" w:hAnsi="Arial" w:cs="Arial"/>
        </w:rPr>
        <w:t>94</w:t>
      </w:r>
      <w:r>
        <w:rPr>
          <w:rFonts w:hint="eastAsia" w:ascii="宋体" w:hAnsi="宋体" w:cs="Arial"/>
        </w:rPr>
        <w:t>号）第十二条规定的内容，质疑函的格式可参照</w:t>
      </w:r>
      <w:r>
        <w:rPr>
          <w:rFonts w:hint="eastAsia" w:ascii="宋体" w:hAnsi="宋体"/>
        </w:rPr>
        <w:t>宿州市公共资源交易中心门户网站办事流程--资料下载中的质疑函范本</w:t>
      </w:r>
      <w:r>
        <w:rPr>
          <w:rFonts w:hint="eastAsia" w:ascii="宋体" w:hAnsi="宋体" w:cs="Arial"/>
        </w:rPr>
        <w:t>。</w:t>
      </w:r>
    </w:p>
    <w:p>
      <w:pPr>
        <w:pStyle w:val="62"/>
        <w:widowControl w:val="0"/>
        <w:spacing w:line="500" w:lineRule="exact"/>
        <w:ind w:firstLine="420"/>
        <w:rPr>
          <w:rFonts w:ascii="宋体" w:hAnsi="宋体"/>
        </w:rPr>
      </w:pPr>
      <w:r>
        <w:rPr>
          <w:rFonts w:hint="eastAsia" w:ascii="宋体" w:hAnsi="宋体"/>
        </w:rPr>
        <w:t>12.2供应商对</w:t>
      </w:r>
      <w:r>
        <w:rPr>
          <w:rFonts w:hint="eastAsia" w:ascii="宋体" w:hAnsi="宋体" w:cs="Arial"/>
        </w:rPr>
        <w:t>磋商</w:t>
      </w:r>
      <w:r>
        <w:rPr>
          <w:rFonts w:hint="eastAsia" w:ascii="宋体" w:hAnsi="宋体"/>
        </w:rPr>
        <w:t>文件有质疑的，应</w:t>
      </w:r>
      <w:r>
        <w:rPr>
          <w:rFonts w:ascii="宋体" w:hAnsi="宋体" w:cs="Arial"/>
        </w:rPr>
        <w:t>在法定质疑期内一次性提出</w:t>
      </w:r>
      <w:r>
        <w:rPr>
          <w:rFonts w:hint="eastAsia" w:ascii="宋体" w:hAnsi="宋体" w:cs="Arial"/>
        </w:rPr>
        <w:t>，采购人或代理机构不再接受同一供应商针对同一磋商文件提出的再次质疑（对同一质疑的补充除外）。</w:t>
      </w:r>
    </w:p>
    <w:p>
      <w:pPr>
        <w:pStyle w:val="62"/>
        <w:widowControl w:val="0"/>
        <w:spacing w:line="500" w:lineRule="exact"/>
        <w:ind w:firstLine="420" w:firstLineChars="200"/>
        <w:rPr>
          <w:rFonts w:ascii="宋体" w:hAnsi="宋体" w:cs="Arial"/>
        </w:rPr>
      </w:pPr>
      <w:r>
        <w:rPr>
          <w:rFonts w:hint="eastAsia" w:ascii="宋体" w:hAnsi="宋体"/>
        </w:rPr>
        <w:t>12.3采购人或代理机构应当在收到质疑后7个工作日内作出答复。答复内容将在宿州交通文化旅游投资集团有限公司</w:t>
      </w:r>
      <w:r>
        <w:rPr>
          <w:rFonts w:ascii="宋体" w:hAnsi="宋体"/>
        </w:rPr>
        <w:t>网</w:t>
      </w:r>
      <w:r>
        <w:rPr>
          <w:rFonts w:hint="eastAsia" w:ascii="宋体" w:hAnsi="宋体"/>
        </w:rPr>
        <w:t>站公布，所有获取</w:t>
      </w:r>
      <w:r>
        <w:rPr>
          <w:rFonts w:hint="eastAsia" w:ascii="宋体" w:hAnsi="宋体" w:cs="Arial"/>
        </w:rPr>
        <w:t>磋商</w:t>
      </w:r>
      <w:r>
        <w:rPr>
          <w:rFonts w:hint="eastAsia" w:ascii="宋体" w:hAnsi="宋体"/>
        </w:rPr>
        <w:t>文件的潜在供应商均有义务自行查看该答复内容。</w:t>
      </w:r>
    </w:p>
    <w:p>
      <w:pPr>
        <w:spacing w:line="500" w:lineRule="exact"/>
        <w:ind w:left="1365" w:hanging="735"/>
        <w:rPr>
          <w:rFonts w:ascii="宋体" w:hAnsi="宋体" w:cs="Arial"/>
        </w:rPr>
      </w:pPr>
      <w:r>
        <w:rPr>
          <w:rFonts w:hint="eastAsia" w:ascii="宋体" w:hAnsi="宋体" w:cs="Arial"/>
        </w:rPr>
        <w:t xml:space="preserve"> </w:t>
      </w:r>
    </w:p>
    <w:p>
      <w:pPr>
        <w:pStyle w:val="58"/>
        <w:rPr>
          <w:color w:val="auto"/>
        </w:rPr>
      </w:pPr>
      <w:bookmarkStart w:id="55" w:name="_Toc511899307"/>
      <w:bookmarkEnd w:id="55"/>
      <w:bookmarkStart w:id="56" w:name="_Toc3727"/>
      <w:r>
        <w:rPr>
          <w:rFonts w:hint="eastAsia"/>
          <w:color w:val="auto"/>
        </w:rPr>
        <w:t>三、磋商响应文件的编制</w:t>
      </w:r>
      <w:bookmarkEnd w:id="56"/>
    </w:p>
    <w:p>
      <w:pPr>
        <w:spacing w:line="500" w:lineRule="exact"/>
        <w:ind w:firstLine="517" w:firstLineChars="245"/>
        <w:rPr>
          <w:rFonts w:ascii="宋体" w:hAnsi="宋体" w:cs="Arial"/>
          <w:b/>
          <w:bCs/>
        </w:rPr>
      </w:pPr>
      <w:r>
        <w:rPr>
          <w:rFonts w:hint="eastAsia" w:ascii="宋体" w:hAnsi="宋体" w:cs="Arial"/>
          <w:b/>
          <w:bCs/>
        </w:rPr>
        <w:t>13、磋商响应文件构成</w:t>
      </w:r>
    </w:p>
    <w:p>
      <w:pPr>
        <w:spacing w:line="500" w:lineRule="exact"/>
        <w:ind w:firstLine="420" w:firstLineChars="200"/>
        <w:rPr>
          <w:rFonts w:ascii="宋体" w:hAnsi="宋体" w:cs="Arial"/>
        </w:rPr>
      </w:pPr>
      <w:r>
        <w:rPr>
          <w:rFonts w:hint="eastAsia" w:ascii="宋体" w:hAnsi="宋体" w:cs="Arial"/>
        </w:rPr>
        <w:t>13.1磋商响应文件应包括下列内容：</w:t>
      </w:r>
      <w:r>
        <w:rPr>
          <w:rFonts w:hint="eastAsia" w:ascii="宋体" w:hAnsi="宋体"/>
        </w:rPr>
        <w:t>磋商响应</w:t>
      </w:r>
      <w:r>
        <w:rPr>
          <w:rFonts w:hint="eastAsia" w:ascii="宋体" w:hAnsi="宋体" w:cs="Arial"/>
        </w:rPr>
        <w:t>函格式、资格证明文件、商务要求响应情况表、技术规格响应表、货物服务技术方案、开标一览表、分项报价表等。</w:t>
      </w:r>
    </w:p>
    <w:p>
      <w:pPr>
        <w:spacing w:line="500" w:lineRule="exact"/>
        <w:ind w:firstLine="420" w:firstLineChars="200"/>
        <w:rPr>
          <w:rFonts w:ascii="宋体" w:hAnsi="宋体" w:cs="Arial"/>
        </w:rPr>
      </w:pPr>
      <w:r>
        <w:rPr>
          <w:rFonts w:hint="eastAsia" w:ascii="宋体" w:hAnsi="宋体" w:cs="Arial"/>
        </w:rPr>
        <w:t>13.1.1证明供应商合格的资格文件</w:t>
      </w:r>
    </w:p>
    <w:p>
      <w:pPr>
        <w:spacing w:line="500" w:lineRule="exact"/>
        <w:ind w:firstLine="420" w:firstLineChars="200"/>
        <w:rPr>
          <w:rFonts w:ascii="宋体" w:hAnsi="宋体" w:cs="Arial"/>
        </w:rPr>
      </w:pPr>
      <w:r>
        <w:rPr>
          <w:rFonts w:hint="eastAsia" w:ascii="宋体" w:hAnsi="宋体" w:cs="Arial"/>
        </w:rPr>
        <w:t>应包括磋商文件要求的证明，以证明其有资格参加磋商，以及中标后有能力履行合同所必需的生产、技术、服务和财务管理等方面能力的证明文件。</w:t>
      </w:r>
    </w:p>
    <w:p>
      <w:pPr>
        <w:spacing w:line="500" w:lineRule="exact"/>
        <w:ind w:firstLine="420" w:firstLineChars="200"/>
        <w:rPr>
          <w:rFonts w:ascii="宋体" w:hAnsi="宋体" w:cs="Arial"/>
        </w:rPr>
      </w:pPr>
      <w:r>
        <w:rPr>
          <w:rFonts w:hint="eastAsia" w:ascii="宋体" w:hAnsi="宋体" w:cs="Arial"/>
        </w:rPr>
        <w:t>13.1.2所有货物（包括零部件）须为全新的、未使用过的原装正品</w:t>
      </w:r>
      <w:r>
        <w:rPr>
          <w:rFonts w:hint="eastAsia" w:ascii="宋体" w:hAnsi="宋体" w:cs="Arial"/>
          <w:b/>
          <w:bCs/>
        </w:rPr>
        <w:t>（本条货物类适用）。</w:t>
      </w:r>
    </w:p>
    <w:p>
      <w:pPr>
        <w:spacing w:line="500" w:lineRule="exact"/>
        <w:ind w:firstLine="420" w:firstLineChars="200"/>
        <w:rPr>
          <w:rFonts w:ascii="宋体" w:hAnsi="宋体" w:cs="Arial"/>
        </w:rPr>
      </w:pPr>
      <w:r>
        <w:rPr>
          <w:rFonts w:hint="eastAsia" w:ascii="宋体" w:hAnsi="宋体" w:cs="Arial"/>
        </w:rPr>
        <w:t xml:space="preserve">13.2供应商必须对其磋商响应文件的真实性与准确性负责。一旦中标，其磋商响应文件将作为合同的重要组成部分。 </w:t>
      </w:r>
    </w:p>
    <w:p>
      <w:pPr>
        <w:spacing w:line="500" w:lineRule="exact"/>
        <w:ind w:firstLine="420" w:firstLineChars="200"/>
        <w:rPr>
          <w:rFonts w:ascii="宋体" w:hAnsi="宋体" w:cs="Arial"/>
        </w:rPr>
      </w:pPr>
      <w:r>
        <w:rPr>
          <w:rFonts w:hint="eastAsia" w:ascii="宋体" w:hAnsi="宋体" w:cs="Arial"/>
        </w:rPr>
        <w:t>13.3供应商应在磋商响应文件中体现本文件要求的内容。</w:t>
      </w:r>
    </w:p>
    <w:p>
      <w:pPr>
        <w:spacing w:line="500" w:lineRule="exact"/>
        <w:ind w:firstLine="422" w:firstLineChars="200"/>
        <w:rPr>
          <w:rFonts w:ascii="宋体" w:hAnsi="宋体" w:cs="Arial"/>
          <w:b/>
          <w:bCs/>
        </w:rPr>
      </w:pPr>
      <w:r>
        <w:rPr>
          <w:rFonts w:hint="eastAsia" w:ascii="宋体" w:hAnsi="宋体" w:cs="Arial"/>
          <w:b/>
          <w:bCs/>
        </w:rPr>
        <w:t>14、磋商报价</w:t>
      </w:r>
    </w:p>
    <w:p>
      <w:pPr>
        <w:spacing w:line="500" w:lineRule="exact"/>
        <w:ind w:firstLine="420" w:firstLineChars="200"/>
        <w:rPr>
          <w:rFonts w:ascii="宋体" w:hAnsi="宋体" w:cs="Arial"/>
        </w:rPr>
      </w:pPr>
      <w:r>
        <w:rPr>
          <w:rFonts w:hint="eastAsia" w:ascii="宋体" w:hAnsi="宋体" w:cs="Arial"/>
        </w:rPr>
        <w:t>14.1本项目只允许有一个方案、一个报价。多方案、多报价的磋商响应文件将不被接受。</w:t>
      </w:r>
    </w:p>
    <w:p>
      <w:pPr>
        <w:spacing w:line="500" w:lineRule="exact"/>
        <w:ind w:firstLine="420" w:firstLineChars="200"/>
        <w:rPr>
          <w:rFonts w:ascii="宋体" w:hAnsi="宋体" w:cs="Arial"/>
        </w:rPr>
      </w:pPr>
      <w:r>
        <w:rPr>
          <w:rFonts w:hint="eastAsia" w:ascii="宋体" w:hAnsi="宋体" w:cs="Arial"/>
        </w:rPr>
        <w:t>14.2</w:t>
      </w:r>
      <w:r>
        <w:rPr>
          <w:rFonts w:hint="eastAsia" w:ascii="宋体" w:hAnsi="宋体" w:cs="Arial"/>
          <w:b/>
          <w:bCs/>
        </w:rPr>
        <w:t>货物类项目适用：</w:t>
      </w:r>
      <w:r>
        <w:rPr>
          <w:rFonts w:hint="eastAsia" w:ascii="宋体" w:hAnsi="宋体" w:cs="Arial"/>
        </w:rPr>
        <w:t>开标一览表中的投标总报价应包括投标产品以及其产生的采购、运输、人工、安装、售后、验收、税费等所有费用，即为履行合同的最终价格。</w:t>
      </w:r>
    </w:p>
    <w:p>
      <w:pPr>
        <w:spacing w:line="500" w:lineRule="exact"/>
        <w:ind w:firstLine="420"/>
        <w:rPr>
          <w:rFonts w:ascii="宋体" w:hAnsi="宋体" w:cs="Arial"/>
        </w:rPr>
      </w:pPr>
      <w:r>
        <w:rPr>
          <w:rFonts w:hint="eastAsia" w:ascii="宋体" w:hAnsi="宋体" w:cs="Arial"/>
          <w:b/>
          <w:bCs/>
        </w:rPr>
        <w:t>服务类、工程类项目适用</w:t>
      </w:r>
      <w:r>
        <w:rPr>
          <w:rFonts w:hint="eastAsia" w:ascii="宋体" w:hAnsi="宋体" w:cs="Arial"/>
        </w:rPr>
        <w:t>：开标一览表中的投标总报价应包括完成本项目的所有费用、税费等所有费用，即为履行合同的最终价格。</w:t>
      </w:r>
    </w:p>
    <w:p>
      <w:pPr>
        <w:spacing w:line="500" w:lineRule="exact"/>
        <w:ind w:firstLine="420" w:firstLineChars="200"/>
        <w:rPr>
          <w:rFonts w:ascii="宋体" w:hAnsi="宋体" w:cs="Arial"/>
        </w:rPr>
      </w:pPr>
      <w:r>
        <w:rPr>
          <w:rFonts w:hint="eastAsia" w:ascii="宋体" w:hAnsi="宋体" w:cs="Arial"/>
        </w:rPr>
        <w:t>14.3</w:t>
      </w:r>
      <w:r>
        <w:rPr>
          <w:rFonts w:hint="eastAsia" w:ascii="宋体" w:hAnsi="宋体" w:cs="Arial"/>
          <w:b/>
          <w:bCs/>
        </w:rPr>
        <w:t>货物类项目适用：</w:t>
      </w:r>
      <w:r>
        <w:rPr>
          <w:rFonts w:hint="eastAsia" w:ascii="宋体" w:hAnsi="宋体" w:cs="Arial"/>
        </w:rPr>
        <w:t>货物服务分项报价表上应清楚地标明供应商拟提供货物的名称、型号、数量、单价（含投标产品所产生的采购、运输、人工、安装、售后、验收、税费等）、总价等内容，其合计价格应与开标一览表中的投标总报价保持一致。</w:t>
      </w:r>
    </w:p>
    <w:p>
      <w:pPr>
        <w:spacing w:line="500" w:lineRule="exact"/>
        <w:ind w:firstLine="422" w:firstLineChars="200"/>
        <w:rPr>
          <w:rFonts w:ascii="宋体" w:hAnsi="宋体" w:cs="Arial"/>
        </w:rPr>
      </w:pPr>
      <w:r>
        <w:rPr>
          <w:rFonts w:hint="eastAsia" w:ascii="宋体" w:hAnsi="宋体" w:cs="Arial"/>
          <w:b/>
          <w:bCs/>
        </w:rPr>
        <w:t>服务类、工程类项目适用：</w:t>
      </w:r>
      <w:r>
        <w:rPr>
          <w:rFonts w:hint="eastAsia" w:ascii="宋体" w:hAnsi="宋体" w:cs="Arial"/>
        </w:rPr>
        <w:t>价格标的服务分项报价表上应清楚地标明供应商拟提供的服务或工程费用等内容，其合计价格应与开标一览表中的投标总报价保持一致。</w:t>
      </w:r>
    </w:p>
    <w:p>
      <w:pPr>
        <w:spacing w:line="500" w:lineRule="exact"/>
        <w:ind w:left="359" w:leftChars="171" w:firstLine="210" w:firstLineChars="100"/>
        <w:rPr>
          <w:rFonts w:ascii="宋体" w:hAnsi="宋体" w:cs="Arial"/>
        </w:rPr>
      </w:pPr>
      <w:r>
        <w:rPr>
          <w:rFonts w:hint="eastAsia" w:ascii="宋体" w:hAnsi="宋体" w:cs="Arial"/>
        </w:rPr>
        <w:t>14.4供应商投标的货币为人民币。</w:t>
      </w:r>
    </w:p>
    <w:p>
      <w:pPr>
        <w:spacing w:line="500" w:lineRule="exact"/>
        <w:ind w:left="426"/>
        <w:rPr>
          <w:rFonts w:ascii="宋体" w:hAnsi="宋体" w:cs="Arial"/>
          <w:b/>
          <w:bCs/>
        </w:rPr>
      </w:pPr>
      <w:r>
        <w:rPr>
          <w:rFonts w:hint="eastAsia" w:ascii="宋体" w:hAnsi="宋体" w:cs="Arial"/>
          <w:b/>
          <w:bCs/>
        </w:rPr>
        <w:t>15、磋商保证金</w:t>
      </w:r>
    </w:p>
    <w:p>
      <w:pPr>
        <w:spacing w:line="540" w:lineRule="exact"/>
        <w:ind w:firstLine="525" w:firstLineChars="250"/>
        <w:rPr>
          <w:rFonts w:ascii="宋体" w:hAnsi="宋体" w:cs="Arial"/>
        </w:rPr>
      </w:pPr>
      <w:r>
        <w:rPr>
          <w:rFonts w:hint="eastAsia" w:ascii="宋体" w:hAnsi="宋体" w:cs="Arial"/>
        </w:rPr>
        <w:t>15.1</w:t>
      </w:r>
      <w:r>
        <w:rPr>
          <w:rFonts w:hint="eastAsia" w:ascii="宋体" w:hAnsi="宋体"/>
        </w:rPr>
        <w:t>供应商在递交磋商响应文件的同时，应按供应商须知前附表规定的金额和形式递交磋商保证金。联合体参加磋商的，其磋商保证金由牵头人递交，并应符合供应商须知前附表的规定。</w:t>
      </w:r>
    </w:p>
    <w:p>
      <w:pPr>
        <w:spacing w:before="93" w:after="93" w:line="540" w:lineRule="exact"/>
        <w:ind w:firstLine="525" w:firstLineChars="250"/>
        <w:rPr>
          <w:rFonts w:ascii="宋体" w:hAnsi="宋体" w:cs="Arial"/>
        </w:rPr>
      </w:pPr>
      <w:r>
        <w:rPr>
          <w:rFonts w:hint="eastAsia" w:ascii="宋体" w:hAnsi="宋体" w:cs="Arial"/>
        </w:rPr>
        <w:t>15.2</w:t>
      </w:r>
      <w:r>
        <w:rPr>
          <w:rFonts w:hint="eastAsia" w:ascii="宋体" w:hAnsi="宋体"/>
        </w:rPr>
        <w:t>供应商不按供应商须知前附表要求提交磋商保证金的，</w:t>
      </w:r>
      <w:r>
        <w:rPr>
          <w:rFonts w:hint="eastAsia" w:ascii="宋体" w:hAnsi="宋体"/>
          <w:b/>
          <w:bCs/>
        </w:rPr>
        <w:t>其响应文件无效。</w:t>
      </w:r>
    </w:p>
    <w:p>
      <w:pPr>
        <w:spacing w:before="93" w:after="93" w:line="540" w:lineRule="exact"/>
        <w:ind w:firstLine="525" w:firstLineChars="250"/>
        <w:rPr>
          <w:rFonts w:ascii="宋体" w:hAnsi="宋体" w:cs="Arial"/>
          <w:color w:val="FF0000"/>
        </w:rPr>
      </w:pPr>
      <w:r>
        <w:rPr>
          <w:rFonts w:hint="eastAsia" w:ascii="宋体" w:hAnsi="宋体" w:cs="Arial"/>
          <w:color w:val="FF0000"/>
        </w:rPr>
        <w:t>15.3</w:t>
      </w:r>
      <w:r>
        <w:rPr>
          <w:rFonts w:hint="eastAsia" w:ascii="宋体" w:hAnsi="宋体"/>
          <w:color w:val="FF0000"/>
        </w:rPr>
        <w:t>未成交供应商的磋商保证金应当在成交通知书发出后</w:t>
      </w:r>
      <w:r>
        <w:rPr>
          <w:rFonts w:ascii="宋体" w:hAnsi="宋体"/>
          <w:color w:val="FF0000"/>
        </w:rPr>
        <w:t>5个工作日内退还</w:t>
      </w:r>
      <w:r>
        <w:rPr>
          <w:rFonts w:hint="eastAsia" w:ascii="宋体" w:hAnsi="宋体" w:cs="Arial"/>
          <w:color w:val="FF0000"/>
        </w:rPr>
        <w:t>。</w:t>
      </w:r>
    </w:p>
    <w:p>
      <w:pPr>
        <w:spacing w:line="500" w:lineRule="exact"/>
        <w:ind w:firstLine="525" w:firstLineChars="250"/>
        <w:rPr>
          <w:rFonts w:ascii="宋体" w:hAnsi="宋体"/>
          <w:color w:val="FF0000"/>
        </w:rPr>
      </w:pPr>
      <w:r>
        <w:rPr>
          <w:rFonts w:hint="eastAsia" w:ascii="宋体" w:hAnsi="宋体" w:cs="Arial"/>
          <w:color w:val="FF0000"/>
        </w:rPr>
        <w:t>15.4</w:t>
      </w:r>
      <w:r>
        <w:rPr>
          <w:rFonts w:ascii="宋体" w:hAnsi="宋体"/>
          <w:color w:val="FF0000"/>
        </w:rPr>
        <w:t>成交供应商的磋商保证金应当在采购合同签订后5个工作日内退还</w:t>
      </w:r>
      <w:r>
        <w:rPr>
          <w:rFonts w:hint="eastAsia" w:ascii="宋体" w:hAnsi="宋体"/>
          <w:color w:val="FF0000"/>
        </w:rPr>
        <w:t>。</w:t>
      </w:r>
    </w:p>
    <w:p>
      <w:pPr>
        <w:spacing w:line="500" w:lineRule="exact"/>
        <w:ind w:firstLine="527" w:firstLineChars="250"/>
        <w:rPr>
          <w:rFonts w:ascii="宋体" w:hAnsi="宋体" w:cs="Arial"/>
          <w:b/>
          <w:bCs/>
        </w:rPr>
      </w:pPr>
      <w:r>
        <w:rPr>
          <w:rFonts w:hint="eastAsia" w:ascii="宋体" w:hAnsi="宋体" w:cs="Arial"/>
          <w:b/>
          <w:bCs/>
        </w:rPr>
        <w:t>15.5有下列情形之一的，不予退还磋商保证金，上缴财政：</w:t>
      </w:r>
    </w:p>
    <w:p>
      <w:pPr>
        <w:spacing w:line="500" w:lineRule="exact"/>
        <w:ind w:firstLine="527" w:firstLineChars="250"/>
        <w:rPr>
          <w:rFonts w:ascii="宋体" w:hAnsi="宋体" w:cs="Arial"/>
          <w:b/>
          <w:bCs/>
        </w:rPr>
      </w:pPr>
      <w:r>
        <w:rPr>
          <w:rFonts w:hint="eastAsia" w:ascii="宋体" w:hAnsi="宋体" w:cs="Arial"/>
          <w:b/>
          <w:bCs/>
        </w:rPr>
        <w:t>15.5.1供应商在提交响应文件截止时间后撤回响应文件的；</w:t>
      </w:r>
    </w:p>
    <w:p>
      <w:pPr>
        <w:spacing w:line="500" w:lineRule="exact"/>
        <w:ind w:firstLine="527" w:firstLineChars="250"/>
        <w:rPr>
          <w:rFonts w:ascii="宋体" w:hAnsi="宋体" w:cs="Arial"/>
          <w:b/>
          <w:bCs/>
        </w:rPr>
      </w:pPr>
      <w:r>
        <w:rPr>
          <w:rFonts w:hint="eastAsia" w:ascii="宋体" w:hAnsi="宋体" w:cs="Arial"/>
          <w:b/>
          <w:bCs/>
        </w:rPr>
        <w:t>15.5.2</w:t>
      </w:r>
      <w:r>
        <w:rPr>
          <w:rFonts w:ascii="宋体" w:hAnsi="宋体" w:cs="Arial"/>
          <w:b/>
          <w:bCs/>
        </w:rPr>
        <w:t>供应商在响应文件中提供虚假材料的；</w:t>
      </w:r>
    </w:p>
    <w:p>
      <w:pPr>
        <w:spacing w:line="500" w:lineRule="exact"/>
        <w:ind w:firstLine="527" w:firstLineChars="250"/>
        <w:rPr>
          <w:rFonts w:ascii="宋体" w:hAnsi="宋体" w:cs="Arial"/>
          <w:b/>
          <w:bCs/>
        </w:rPr>
      </w:pPr>
      <w:r>
        <w:rPr>
          <w:rFonts w:hint="eastAsia" w:ascii="宋体" w:hAnsi="宋体" w:cs="Arial"/>
          <w:b/>
          <w:bCs/>
        </w:rPr>
        <w:t>15.5.3</w:t>
      </w:r>
      <w:r>
        <w:rPr>
          <w:rFonts w:ascii="宋体" w:hAnsi="宋体" w:cs="Arial"/>
          <w:b/>
          <w:bCs/>
        </w:rPr>
        <w:t>除因不可抗力或磋商文件认可的情形以外，成交供应商不与采购人签订合同的；</w:t>
      </w:r>
    </w:p>
    <w:p>
      <w:pPr>
        <w:spacing w:line="500" w:lineRule="exact"/>
        <w:ind w:firstLine="527" w:firstLineChars="250"/>
        <w:rPr>
          <w:rFonts w:ascii="宋体" w:hAnsi="宋体" w:cs="Arial"/>
          <w:b/>
          <w:bCs/>
        </w:rPr>
      </w:pPr>
      <w:r>
        <w:rPr>
          <w:rFonts w:hint="eastAsia" w:ascii="宋体" w:hAnsi="宋体" w:cs="Arial"/>
          <w:b/>
          <w:bCs/>
        </w:rPr>
        <w:t>15.5.4</w:t>
      </w:r>
      <w:r>
        <w:rPr>
          <w:rFonts w:ascii="宋体" w:hAnsi="宋体" w:cs="Arial"/>
          <w:b/>
          <w:bCs/>
        </w:rPr>
        <w:t>供应商与采购人、其他供应商或者采购代理机构恶意串通的；</w:t>
      </w:r>
    </w:p>
    <w:p>
      <w:pPr>
        <w:spacing w:line="500" w:lineRule="exact"/>
        <w:ind w:firstLine="527" w:firstLineChars="250"/>
        <w:rPr>
          <w:rFonts w:ascii="宋体" w:hAnsi="宋体"/>
          <w:b/>
          <w:bCs/>
          <w:kern w:val="0"/>
        </w:rPr>
      </w:pPr>
      <w:r>
        <w:rPr>
          <w:rFonts w:hint="eastAsia" w:ascii="宋体" w:hAnsi="宋体" w:cs="Arial"/>
          <w:b/>
          <w:bCs/>
        </w:rPr>
        <w:t>15.5.5</w:t>
      </w:r>
      <w:r>
        <w:rPr>
          <w:rFonts w:hint="eastAsia" w:ascii="宋体" w:hAnsi="宋体"/>
          <w:b/>
          <w:bCs/>
          <w:kern w:val="0"/>
        </w:rPr>
        <w:t>供应商在规定的磋商有效期内撤销或修改其磋商响应文件或放弃候选供应商资格的；</w:t>
      </w:r>
    </w:p>
    <w:p>
      <w:pPr>
        <w:spacing w:line="500" w:lineRule="exact"/>
        <w:ind w:firstLine="527" w:firstLineChars="250"/>
        <w:rPr>
          <w:rFonts w:ascii="宋体" w:hAnsi="宋体" w:cs="Arial"/>
          <w:b/>
          <w:bCs/>
        </w:rPr>
      </w:pPr>
      <w:r>
        <w:rPr>
          <w:rFonts w:hint="eastAsia" w:ascii="宋体" w:hAnsi="宋体"/>
          <w:b/>
          <w:bCs/>
          <w:kern w:val="0"/>
        </w:rPr>
        <w:t>15.5.6成交人在收到中标通知书后，未按磋商文件规定提交履约担保。</w:t>
      </w:r>
    </w:p>
    <w:p>
      <w:pPr>
        <w:spacing w:line="500" w:lineRule="exact"/>
        <w:ind w:left="426"/>
        <w:rPr>
          <w:rFonts w:ascii="宋体" w:hAnsi="宋体" w:cs="Arial"/>
          <w:b/>
          <w:bCs/>
        </w:rPr>
      </w:pPr>
      <w:r>
        <w:rPr>
          <w:rFonts w:hint="eastAsia" w:ascii="宋体" w:hAnsi="宋体" w:cs="Arial"/>
          <w:b/>
          <w:bCs/>
        </w:rPr>
        <w:t>16、磋商有效期</w:t>
      </w:r>
    </w:p>
    <w:p>
      <w:pPr>
        <w:spacing w:line="500" w:lineRule="exact"/>
        <w:ind w:firstLine="514" w:firstLineChars="245"/>
        <w:rPr>
          <w:rFonts w:ascii="宋体" w:hAnsi="宋体" w:cs="Arial"/>
          <w:b/>
          <w:bCs/>
        </w:rPr>
      </w:pPr>
      <w:r>
        <w:rPr>
          <w:rFonts w:hint="eastAsia" w:ascii="宋体" w:hAnsi="宋体" w:cs="Arial"/>
        </w:rPr>
        <w:t>16.1磋商有效期在“供应商须知前附表”中有明确的规定。供应商如未就此提出异议，则视同接受；如承诺的磋商有效期短于此规定时间的，将被视为非响应性投标而予以拒绝。</w:t>
      </w:r>
    </w:p>
    <w:p>
      <w:pPr>
        <w:pStyle w:val="62"/>
        <w:widowControl w:val="0"/>
        <w:spacing w:line="500" w:lineRule="exact"/>
        <w:ind w:firstLine="420"/>
        <w:rPr>
          <w:rFonts w:ascii="宋体" w:hAnsi="宋体"/>
        </w:rPr>
      </w:pPr>
      <w:r>
        <w:rPr>
          <w:rFonts w:hint="eastAsia" w:ascii="宋体" w:hAnsi="宋体" w:cs="Arial"/>
        </w:rPr>
        <w:t>16.2在特殊情况下，采购单位可于原磋商有效期满之前，向供应商提出延长磋商有效期的要求。</w:t>
      </w:r>
      <w:r>
        <w:rPr>
          <w:rFonts w:hint="eastAsia" w:ascii="宋体" w:hAnsi="宋体"/>
        </w:rPr>
        <w:t>供应商同意延长的，应相应延长其磋商保证金的有效期，但不得要求或被允许修改或撤销其磋商响应文件。供应商拒绝延长的</w:t>
      </w:r>
      <w:r>
        <w:rPr>
          <w:rFonts w:hint="eastAsia" w:ascii="宋体" w:hAnsi="宋体" w:cs="Arial"/>
        </w:rPr>
        <w:t>，可以书面形式拒绝采购单位的这种要求而不失去其磋商保证金。如在规定的时间内未提出书面意见表示拒绝，将视为同意延长磋商有效期</w:t>
      </w:r>
      <w:r>
        <w:rPr>
          <w:rFonts w:hint="eastAsia" w:ascii="宋体" w:hAnsi="宋体"/>
        </w:rPr>
        <w:t>。</w:t>
      </w:r>
    </w:p>
    <w:p>
      <w:pPr>
        <w:spacing w:line="500" w:lineRule="exact"/>
        <w:ind w:firstLine="525" w:firstLineChars="250"/>
        <w:rPr>
          <w:rFonts w:ascii="宋体" w:hAnsi="宋体" w:cs="Arial"/>
        </w:rPr>
      </w:pPr>
      <w:r>
        <w:rPr>
          <w:rFonts w:hint="eastAsia" w:ascii="宋体" w:hAnsi="宋体"/>
        </w:rPr>
        <w:t>16.3在磋商有效期内，供应商撤销或修改其磋商响应文件的，应承担责任。</w:t>
      </w:r>
    </w:p>
    <w:p>
      <w:pPr>
        <w:spacing w:line="500" w:lineRule="exact"/>
        <w:ind w:left="426"/>
        <w:rPr>
          <w:rFonts w:ascii="宋体" w:hAnsi="宋体" w:cs="Arial"/>
          <w:b/>
          <w:bCs/>
        </w:rPr>
      </w:pPr>
      <w:r>
        <w:rPr>
          <w:rFonts w:hint="eastAsia" w:ascii="宋体" w:hAnsi="宋体" w:cs="Arial"/>
          <w:b/>
          <w:bCs/>
        </w:rPr>
        <w:t>17、磋商响应文件签署</w:t>
      </w:r>
    </w:p>
    <w:p>
      <w:pPr>
        <w:spacing w:line="500" w:lineRule="exact"/>
        <w:ind w:firstLine="525" w:firstLineChars="250"/>
        <w:rPr>
          <w:rFonts w:ascii="宋体" w:hAnsi="宋体" w:cs="Arial"/>
        </w:rPr>
      </w:pPr>
      <w:r>
        <w:rPr>
          <w:rFonts w:hint="eastAsia" w:ascii="宋体" w:hAnsi="宋体" w:cs="Arial"/>
        </w:rPr>
        <w:t>17.1磋商响应文件应由供应商的法定代表人或其被授权代表正确签署。被授权代表须将法定代表人以书面形式出具的“法定代表人授权书”附在磋商响应文件中。</w:t>
      </w:r>
    </w:p>
    <w:p>
      <w:pPr>
        <w:spacing w:line="500" w:lineRule="exact"/>
        <w:ind w:firstLine="525" w:firstLineChars="250"/>
        <w:rPr>
          <w:rFonts w:ascii="宋体" w:hAnsi="宋体" w:cs="Arial"/>
        </w:rPr>
      </w:pPr>
      <w:r>
        <w:rPr>
          <w:rFonts w:hint="eastAsia" w:ascii="宋体" w:hAnsi="宋体" w:cs="Arial"/>
        </w:rPr>
        <w:t>17.2磋商响应文件不得行间插字、涂改或增删。如有修改错漏处，必须由供应商的法定代表人或其授权代表签字。</w:t>
      </w:r>
    </w:p>
    <w:p>
      <w:pPr>
        <w:spacing w:line="500" w:lineRule="exact"/>
        <w:rPr>
          <w:rFonts w:ascii="宋体" w:hAnsi="宋体" w:cs="Arial"/>
        </w:rPr>
      </w:pPr>
      <w:r>
        <w:rPr>
          <w:rFonts w:hint="eastAsia" w:ascii="宋体" w:hAnsi="宋体" w:cs="Arial"/>
        </w:rPr>
        <w:t xml:space="preserve"> </w:t>
      </w:r>
    </w:p>
    <w:p>
      <w:pPr>
        <w:pStyle w:val="58"/>
        <w:rPr>
          <w:color w:val="auto"/>
        </w:rPr>
      </w:pPr>
      <w:bookmarkStart w:id="57" w:name="_Toc511899308"/>
      <w:bookmarkEnd w:id="57"/>
      <w:bookmarkStart w:id="58" w:name="_Toc15553"/>
      <w:r>
        <w:rPr>
          <w:rFonts w:hint="eastAsia"/>
          <w:color w:val="auto"/>
        </w:rPr>
        <w:t>四、磋商响应文件的提交</w:t>
      </w:r>
      <w:bookmarkEnd w:id="58"/>
    </w:p>
    <w:p>
      <w:pPr>
        <w:spacing w:line="500" w:lineRule="exact"/>
        <w:ind w:left="426"/>
        <w:rPr>
          <w:rFonts w:ascii="宋体" w:hAnsi="宋体" w:cs="Arial"/>
          <w:b/>
          <w:bCs/>
        </w:rPr>
      </w:pPr>
      <w:r>
        <w:rPr>
          <w:rFonts w:hint="eastAsia" w:ascii="宋体" w:hAnsi="宋体" w:cs="Arial"/>
          <w:b/>
          <w:bCs/>
        </w:rPr>
        <w:t>18、磋商响应文件的封装</w:t>
      </w:r>
    </w:p>
    <w:p>
      <w:pPr>
        <w:spacing w:beforeLines="30" w:afterLines="30" w:line="540" w:lineRule="exact"/>
        <w:ind w:firstLine="462" w:firstLineChars="220"/>
        <w:rPr>
          <w:rFonts w:ascii="宋体" w:hAnsi="宋体" w:cs="Arial"/>
        </w:rPr>
      </w:pPr>
      <w:r>
        <w:rPr>
          <w:rFonts w:hint="eastAsia" w:ascii="宋体" w:hAnsi="宋体" w:cs="Arial"/>
        </w:rPr>
        <w:t>18.1</w:t>
      </w:r>
      <w:r>
        <w:rPr>
          <w:rFonts w:hint="eastAsia" w:ascii="宋体" w:hAnsi="宋体" w:cs="Arial"/>
          <w:bCs/>
        </w:rPr>
        <w:t>要求提交的</w:t>
      </w:r>
      <w:r>
        <w:rPr>
          <w:rFonts w:hint="eastAsia" w:ascii="宋体" w:hAnsi="宋体"/>
          <w:bCs/>
        </w:rPr>
        <w:t>含有磋商响应文件的电子u盘应当单独封装，</w:t>
      </w:r>
      <w:r>
        <w:rPr>
          <w:rFonts w:hint="eastAsia" w:ascii="宋体" w:hAnsi="宋体" w:cs="Arial"/>
          <w:bCs/>
        </w:rPr>
        <w:t>并在封套的封口处</w:t>
      </w:r>
      <w:r>
        <w:rPr>
          <w:rFonts w:hint="eastAsia" w:ascii="宋体" w:hAnsi="宋体" w:cs="Arial"/>
        </w:rPr>
        <w:t>（也可在封口处加贴封条）</w:t>
      </w:r>
      <w:r>
        <w:rPr>
          <w:rFonts w:hint="eastAsia" w:ascii="宋体" w:hAnsi="宋体" w:cs="Arial"/>
          <w:bCs/>
        </w:rPr>
        <w:t>加盖供应商公章及法定代表人签名或盖章（或代理人签名）</w:t>
      </w:r>
      <w:r>
        <w:rPr>
          <w:rFonts w:hint="eastAsia" w:ascii="宋体" w:hAnsi="宋体" w:cs="Arial"/>
          <w:b/>
        </w:rPr>
        <w:t>。</w:t>
      </w:r>
      <w:r>
        <w:rPr>
          <w:rFonts w:hint="eastAsia" w:ascii="宋体" w:hAnsi="宋体" w:cs="Arial"/>
        </w:rPr>
        <w:t>电子u盘密封袋上必须清楚写明项目的名称、所投包号及包名（如果项目分有多个包）、供应商全称及联系电话。</w:t>
      </w:r>
    </w:p>
    <w:p>
      <w:pPr>
        <w:spacing w:before="93" w:after="93" w:line="540" w:lineRule="exact"/>
        <w:ind w:firstLine="525" w:firstLineChars="250"/>
        <w:rPr>
          <w:rFonts w:ascii="宋体" w:hAnsi="宋体" w:cs="Arial"/>
        </w:rPr>
      </w:pPr>
      <w:r>
        <w:rPr>
          <w:rFonts w:hint="eastAsia" w:ascii="宋体" w:hAnsi="宋体" w:cs="Arial"/>
        </w:rPr>
        <w:t>18.2</w:t>
      </w:r>
      <w:r>
        <w:rPr>
          <w:rFonts w:hint="eastAsia" w:ascii="宋体" w:hAnsi="宋体" w:cs="Arial"/>
          <w:b/>
          <w:bCs/>
        </w:rPr>
        <w:t>磋商响应文件(纸质版)应胶装装订，封面加盖公章。密封包装，在封套的封口处（也可加贴封条）加盖供应商公章及法定代表人签名或盖章（或代理人签名）。</w:t>
      </w:r>
    </w:p>
    <w:p>
      <w:pPr>
        <w:spacing w:before="93" w:after="93" w:line="540" w:lineRule="exact"/>
        <w:ind w:firstLine="525" w:firstLineChars="250"/>
        <w:rPr>
          <w:rFonts w:ascii="宋体" w:hAnsi="宋体" w:cs="Arial"/>
        </w:rPr>
      </w:pPr>
      <w:r>
        <w:rPr>
          <w:rFonts w:hint="eastAsia" w:ascii="宋体" w:hAnsi="宋体" w:cs="Arial"/>
        </w:rPr>
        <w:t>磋商响应文件包装袋上必须清楚写明项目的名称、项目编号、包号及包名（如果项目分有多个包）、供应商全称。</w:t>
      </w:r>
    </w:p>
    <w:p>
      <w:pPr>
        <w:spacing w:line="500" w:lineRule="exact"/>
        <w:ind w:firstLine="420" w:firstLineChars="200"/>
        <w:rPr>
          <w:rFonts w:ascii="宋体" w:hAnsi="宋体" w:cs="Arial"/>
        </w:rPr>
      </w:pPr>
      <w:r>
        <w:rPr>
          <w:rFonts w:hint="eastAsia" w:ascii="宋体" w:hAnsi="宋体" w:cs="Arial"/>
        </w:rPr>
        <w:t>18.3如果项目分有多个包，供应商可以参与其中的一个或几个包的磋商，但必须以包为单位分别编写磋商响应文件，必须以包为单位进行封装。</w:t>
      </w:r>
    </w:p>
    <w:p>
      <w:pPr>
        <w:spacing w:before="93" w:after="93" w:line="540" w:lineRule="exact"/>
        <w:ind w:left="359" w:leftChars="171" w:firstLine="211" w:firstLineChars="100"/>
        <w:rPr>
          <w:rFonts w:ascii="宋体" w:hAnsi="宋体" w:cs="Arial"/>
          <w:b/>
          <w:bCs/>
        </w:rPr>
      </w:pPr>
      <w:r>
        <w:rPr>
          <w:rFonts w:hint="eastAsia" w:ascii="宋体" w:hAnsi="宋体" w:cs="Arial"/>
          <w:b/>
          <w:bCs/>
        </w:rPr>
        <w:t>19、磋商响应文件的递交</w:t>
      </w:r>
    </w:p>
    <w:p>
      <w:pPr>
        <w:spacing w:line="500" w:lineRule="exact"/>
        <w:ind w:firstLine="420" w:firstLineChars="200"/>
        <w:rPr>
          <w:rFonts w:ascii="宋体" w:hAnsi="宋体" w:cs="Arial"/>
        </w:rPr>
      </w:pPr>
      <w:r>
        <w:rPr>
          <w:rFonts w:hint="eastAsia" w:ascii="宋体" w:hAnsi="宋体" w:cs="Arial"/>
        </w:rPr>
        <w:t>19.1供应商应按供应商须知前附表中规定的截止时间前递交磋商响应文件。</w:t>
      </w:r>
    </w:p>
    <w:p>
      <w:pPr>
        <w:spacing w:line="500" w:lineRule="exact"/>
        <w:ind w:firstLine="420" w:firstLineChars="200"/>
        <w:rPr>
          <w:rFonts w:ascii="宋体" w:hAnsi="宋体" w:cs="Arial"/>
        </w:rPr>
      </w:pPr>
      <w:r>
        <w:rPr>
          <w:rFonts w:hint="eastAsia" w:ascii="宋体" w:hAnsi="宋体" w:cs="Arial"/>
        </w:rPr>
        <w:t>19.2供应商递交磋商响应文件的地点：详见供应商须知前附表。</w:t>
      </w:r>
    </w:p>
    <w:p>
      <w:pPr>
        <w:spacing w:line="500" w:lineRule="exact"/>
        <w:ind w:firstLine="420" w:firstLineChars="200"/>
        <w:rPr>
          <w:rFonts w:ascii="宋体" w:hAnsi="宋体" w:cs="Arial"/>
        </w:rPr>
      </w:pPr>
      <w:r>
        <w:rPr>
          <w:rFonts w:hint="eastAsia" w:ascii="宋体" w:hAnsi="宋体" w:cs="Arial"/>
        </w:rPr>
        <w:t>19.3供应商所递交的磋商响应文件在磋商开始后不予退还。</w:t>
      </w:r>
    </w:p>
    <w:p>
      <w:pPr>
        <w:spacing w:line="500" w:lineRule="exact"/>
        <w:ind w:firstLine="420" w:firstLineChars="200"/>
        <w:rPr>
          <w:rFonts w:ascii="宋体" w:hAnsi="宋体" w:cs="Arial"/>
        </w:rPr>
      </w:pPr>
      <w:r>
        <w:rPr>
          <w:rFonts w:hint="eastAsia" w:ascii="宋体" w:hAnsi="宋体" w:cs="Arial"/>
        </w:rPr>
        <w:t>19.4采购单位收到磋商响应文件后，应及时登记并由供应商签字确认。</w:t>
      </w:r>
    </w:p>
    <w:p>
      <w:pPr>
        <w:spacing w:line="500" w:lineRule="exact"/>
        <w:ind w:firstLine="420" w:firstLineChars="200"/>
        <w:rPr>
          <w:rFonts w:ascii="宋体" w:hAnsi="宋体" w:cs="Arial"/>
        </w:rPr>
      </w:pPr>
      <w:r>
        <w:rPr>
          <w:rFonts w:hint="eastAsia" w:ascii="宋体" w:hAnsi="宋体" w:cs="Arial"/>
        </w:rPr>
        <w:t>19.5有下列情形之一的，</w:t>
      </w:r>
      <w:r>
        <w:rPr>
          <w:rFonts w:hint="eastAsia" w:ascii="宋体" w:hAnsi="宋体" w:cs="Arial"/>
          <w:b/>
          <w:bCs/>
        </w:rPr>
        <w:t>采购人将不予受理</w:t>
      </w:r>
      <w:r>
        <w:rPr>
          <w:rFonts w:hint="eastAsia" w:ascii="宋体" w:hAnsi="宋体" w:cs="Arial"/>
        </w:rPr>
        <w:t>：</w:t>
      </w:r>
    </w:p>
    <w:p>
      <w:pPr>
        <w:spacing w:line="500" w:lineRule="exact"/>
        <w:ind w:firstLine="420" w:firstLineChars="200"/>
        <w:rPr>
          <w:rFonts w:ascii="宋体" w:hAnsi="宋体" w:cs="Arial"/>
        </w:rPr>
      </w:pPr>
      <w:r>
        <w:rPr>
          <w:rFonts w:hint="eastAsia" w:ascii="宋体" w:hAnsi="宋体" w:cs="Arial"/>
        </w:rPr>
        <w:t>19.5.1逾期送达的或者未送达指定地点的磋商响应文件。</w:t>
      </w:r>
    </w:p>
    <w:p>
      <w:pPr>
        <w:spacing w:line="540" w:lineRule="exact"/>
        <w:ind w:firstLine="420" w:firstLineChars="200"/>
        <w:rPr>
          <w:rFonts w:ascii="宋体" w:hAnsi="宋体" w:cs="Arial"/>
        </w:rPr>
      </w:pPr>
      <w:r>
        <w:rPr>
          <w:rFonts w:hint="eastAsia" w:ascii="宋体" w:hAnsi="宋体" w:cs="Arial"/>
        </w:rPr>
        <w:t>19.5.2未按本文件18.1、18.2、18.3条的要求密封和加写标记的磋商响应文件。</w:t>
      </w:r>
    </w:p>
    <w:p>
      <w:pPr>
        <w:spacing w:line="500" w:lineRule="exact"/>
        <w:ind w:firstLine="422" w:firstLineChars="200"/>
        <w:rPr>
          <w:rFonts w:ascii="宋体" w:hAnsi="宋体" w:cs="Arial"/>
          <w:b/>
          <w:bCs/>
        </w:rPr>
      </w:pPr>
      <w:r>
        <w:rPr>
          <w:rFonts w:hint="eastAsia" w:ascii="宋体" w:hAnsi="宋体" w:cs="Arial"/>
          <w:b/>
          <w:bCs/>
        </w:rPr>
        <w:t>20、磋商响应文件的修改和撤回</w:t>
      </w:r>
    </w:p>
    <w:p>
      <w:pPr>
        <w:pStyle w:val="62"/>
        <w:widowControl w:val="0"/>
        <w:spacing w:line="400" w:lineRule="atLeast"/>
        <w:ind w:firstLine="420"/>
        <w:rPr>
          <w:rFonts w:ascii="宋体" w:hAnsi="宋体"/>
        </w:rPr>
      </w:pPr>
      <w:r>
        <w:rPr>
          <w:rFonts w:hint="eastAsia" w:ascii="宋体" w:hAnsi="宋体"/>
        </w:rPr>
        <w:t>20.1在供应商须知前附表规定的磋商响应文件递交截止时间前，供应商可以修改或撤回已递交的磋商响应文件，但应以书面形式通知采购人。</w:t>
      </w:r>
    </w:p>
    <w:p>
      <w:pPr>
        <w:pStyle w:val="62"/>
        <w:widowControl w:val="0"/>
        <w:spacing w:line="400" w:lineRule="atLeast"/>
        <w:ind w:firstLine="420"/>
        <w:rPr>
          <w:rFonts w:ascii="宋体" w:hAnsi="宋体"/>
        </w:rPr>
      </w:pPr>
      <w:r>
        <w:rPr>
          <w:rFonts w:hint="eastAsia" w:ascii="宋体" w:hAnsi="宋体"/>
        </w:rPr>
        <w:t>20.2供应商修改或撤回已递交磋商响应文件的书面通知应按照本文件第17条的要求签字或盖章。</w:t>
      </w:r>
    </w:p>
    <w:p>
      <w:pPr>
        <w:pStyle w:val="62"/>
        <w:widowControl w:val="0"/>
        <w:spacing w:line="400" w:lineRule="atLeast"/>
        <w:ind w:firstLine="420"/>
        <w:rPr>
          <w:rFonts w:ascii="宋体" w:hAnsi="宋体"/>
        </w:rPr>
      </w:pPr>
      <w:r>
        <w:rPr>
          <w:rFonts w:hint="eastAsia" w:ascii="宋体" w:hAnsi="宋体"/>
        </w:rPr>
        <w:t>20.3供应商撤回磋商响应文件的，受托人自收到供应商书面撤回通知之日起5个工作日内退还已收取的磋商保证金。</w:t>
      </w:r>
    </w:p>
    <w:p>
      <w:pPr>
        <w:pStyle w:val="62"/>
        <w:widowControl w:val="0"/>
        <w:spacing w:line="500" w:lineRule="exact"/>
        <w:ind w:firstLine="420"/>
        <w:rPr>
          <w:rFonts w:ascii="宋体" w:hAnsi="宋体"/>
        </w:rPr>
      </w:pPr>
      <w:r>
        <w:rPr>
          <w:rFonts w:hint="eastAsia" w:ascii="宋体" w:hAnsi="宋体"/>
        </w:rPr>
        <w:t>20.4修改的内容为磋商响应文件的组成部分。修改的磋商响应文件应按照本文件的要求进行编制、密封、标记和递交，并标明“修改”字样。</w:t>
      </w:r>
    </w:p>
    <w:p>
      <w:pPr>
        <w:spacing w:before="93" w:after="93" w:line="540" w:lineRule="exact"/>
        <w:ind w:firstLine="632" w:firstLineChars="300"/>
        <w:rPr>
          <w:rFonts w:ascii="宋体" w:hAnsi="宋体" w:cs="Arial"/>
          <w:b/>
          <w:bCs/>
        </w:rPr>
      </w:pPr>
      <w:r>
        <w:rPr>
          <w:rFonts w:hint="eastAsia" w:ascii="宋体" w:hAnsi="宋体" w:cs="Arial"/>
          <w:b/>
          <w:bCs/>
        </w:rPr>
        <w:t>21、联合体参加磋商</w:t>
      </w:r>
    </w:p>
    <w:p>
      <w:pPr>
        <w:spacing w:before="93" w:after="93" w:line="540" w:lineRule="exact"/>
        <w:ind w:firstLine="567" w:firstLineChars="270"/>
        <w:rPr>
          <w:rFonts w:ascii="宋体" w:hAnsi="宋体" w:cs="Arial"/>
          <w:b/>
          <w:bCs/>
        </w:rPr>
      </w:pPr>
      <w:r>
        <w:rPr>
          <w:rFonts w:hint="eastAsia" w:ascii="宋体" w:hAnsi="宋体" w:cs="Arial"/>
        </w:rPr>
        <w:t>由两家或两家以上供应商组成的联合体参与磋商时，应满足以下要求：</w:t>
      </w:r>
      <w:r>
        <w:rPr>
          <w:rFonts w:hint="eastAsia" w:ascii="宋体" w:hAnsi="宋体" w:cs="Arial"/>
          <w:b/>
          <w:bCs/>
        </w:rPr>
        <w:t>（“本项目不适用”）</w:t>
      </w:r>
    </w:p>
    <w:p>
      <w:pPr>
        <w:spacing w:before="93" w:after="93" w:line="540" w:lineRule="exact"/>
        <w:ind w:firstLine="630" w:firstLineChars="300"/>
        <w:rPr>
          <w:rFonts w:ascii="宋体" w:hAnsi="宋体" w:cs="Arial"/>
        </w:rPr>
      </w:pPr>
      <w:r>
        <w:rPr>
          <w:rFonts w:hint="eastAsia" w:ascii="宋体" w:hAnsi="宋体" w:cs="Arial"/>
        </w:rPr>
        <w:t>21.1联合体成员除必须满足供应商资格的要求外，如本项目还有其他特定条件的，联合体各方中至少有一方符合特定的条件。</w:t>
      </w:r>
    </w:p>
    <w:p>
      <w:pPr>
        <w:spacing w:before="93" w:after="93" w:line="540" w:lineRule="exact"/>
        <w:ind w:firstLine="630" w:firstLineChars="300"/>
        <w:rPr>
          <w:rFonts w:ascii="宋体" w:hAnsi="宋体" w:cs="Arial"/>
        </w:rPr>
      </w:pPr>
      <w:r>
        <w:rPr>
          <w:rFonts w:hint="eastAsia" w:ascii="宋体" w:hAnsi="宋体" w:cs="Arial"/>
        </w:rPr>
        <w:t>21.2联合体应签订联合体协议，明确各方承担的职责和相应的责任，并授权其中的一个成员作为磋商代表，具体进行磋商、签署磋商响应文件、签订合同等事务。联合体协议应作为磋商响应文件的一部分。</w:t>
      </w:r>
    </w:p>
    <w:p>
      <w:pPr>
        <w:spacing w:before="93" w:after="93" w:line="540" w:lineRule="exact"/>
        <w:ind w:firstLine="630" w:firstLineChars="300"/>
        <w:rPr>
          <w:rFonts w:ascii="宋体" w:hAnsi="宋体" w:cs="Arial"/>
        </w:rPr>
      </w:pPr>
      <w:r>
        <w:rPr>
          <w:rFonts w:hint="eastAsia" w:ascii="宋体" w:hAnsi="宋体" w:cs="Arial"/>
        </w:rPr>
        <w:t>21.3联合体代表应能全权处理磋商过程中的有关问题。一旦成为成交供应商，该联合体代表应负责签订合同并负责合同的全面实施，包括合同款项的收付。</w:t>
      </w:r>
    </w:p>
    <w:p>
      <w:pPr>
        <w:spacing w:line="500" w:lineRule="exact"/>
        <w:ind w:firstLine="630" w:firstLineChars="300"/>
        <w:rPr>
          <w:rFonts w:ascii="宋体" w:hAnsi="宋体" w:cs="Arial"/>
        </w:rPr>
      </w:pPr>
      <w:r>
        <w:rPr>
          <w:rFonts w:hint="eastAsia" w:ascii="宋体" w:hAnsi="宋体" w:cs="Arial"/>
        </w:rPr>
        <w:t>21.4联合体各方不得再以自己的名义单独参与同一项目磋商，也不得再组成新的联合体参与同一项目中的磋商。</w:t>
      </w:r>
    </w:p>
    <w:p>
      <w:pPr>
        <w:spacing w:line="500" w:lineRule="exact"/>
        <w:rPr>
          <w:rFonts w:ascii="宋体" w:hAnsi="宋体" w:cs="Arial"/>
        </w:rPr>
      </w:pPr>
      <w:r>
        <w:rPr>
          <w:rFonts w:hint="eastAsia" w:ascii="宋体" w:hAnsi="宋体" w:cs="Arial"/>
        </w:rPr>
        <w:t xml:space="preserve"> </w:t>
      </w:r>
    </w:p>
    <w:p>
      <w:pPr>
        <w:pStyle w:val="58"/>
        <w:rPr>
          <w:color w:val="auto"/>
        </w:rPr>
      </w:pPr>
      <w:bookmarkStart w:id="59" w:name="_Toc511899309"/>
      <w:bookmarkEnd w:id="59"/>
      <w:bookmarkStart w:id="60" w:name="_Toc9002"/>
      <w:r>
        <w:rPr>
          <w:rFonts w:hint="eastAsia"/>
          <w:color w:val="auto"/>
        </w:rPr>
        <w:t>五、磋商与评审</w:t>
      </w:r>
      <w:bookmarkEnd w:id="60"/>
    </w:p>
    <w:p>
      <w:pPr>
        <w:spacing w:line="360" w:lineRule="auto"/>
        <w:ind w:firstLine="517" w:firstLineChars="245"/>
        <w:rPr>
          <w:rFonts w:ascii="宋体" w:hAnsi="宋体" w:cs="Arial"/>
          <w:b/>
          <w:bCs/>
        </w:rPr>
      </w:pPr>
      <w:r>
        <w:rPr>
          <w:rFonts w:hint="eastAsia" w:ascii="宋体" w:hAnsi="宋体" w:cs="Arial"/>
          <w:b/>
          <w:bCs/>
        </w:rPr>
        <w:t>22、磋商</w:t>
      </w:r>
    </w:p>
    <w:p>
      <w:pPr>
        <w:spacing w:line="360" w:lineRule="auto"/>
        <w:ind w:firstLine="420" w:firstLineChars="200"/>
        <w:rPr>
          <w:rFonts w:ascii="宋体" w:hAnsi="宋体"/>
        </w:rPr>
      </w:pPr>
      <w:r>
        <w:rPr>
          <w:rFonts w:hint="eastAsia" w:ascii="宋体" w:hAnsi="宋体" w:cs="Arial"/>
        </w:rPr>
        <w:t>22.1采购单位将在“供应商须知前附表”规定的时间和地点组织磋商。</w:t>
      </w:r>
      <w:r>
        <w:rPr>
          <w:rFonts w:hint="eastAsia" w:ascii="宋体" w:hAnsi="宋体" w:cs="Arial"/>
          <w:b/>
          <w:bCs/>
        </w:rPr>
        <w:t>供应商的法定代表人或其委托的代理人应携带有效证件准时参加磋商；如为代理人参加的，还需提供有效的法定代表人的授权委托书（装订在标书内的，待打开标书后查验）。否则将否决其投标。</w:t>
      </w:r>
    </w:p>
    <w:p>
      <w:pPr>
        <w:spacing w:line="360" w:lineRule="auto"/>
        <w:ind w:firstLine="420" w:firstLineChars="200"/>
        <w:rPr>
          <w:rFonts w:ascii="宋体" w:hAnsi="宋体" w:cs="Arial"/>
        </w:rPr>
      </w:pPr>
      <w:r>
        <w:rPr>
          <w:rFonts w:hint="eastAsia" w:ascii="宋体" w:hAnsi="宋体"/>
        </w:rPr>
        <w:t>22.2</w:t>
      </w:r>
      <w:r>
        <w:rPr>
          <w:rFonts w:hint="eastAsia" w:ascii="宋体" w:hAnsi="宋体" w:cs="Arial"/>
        </w:rPr>
        <w:t>采购单位按规定组成三人或以上的磋商小组。</w:t>
      </w:r>
    </w:p>
    <w:p>
      <w:pPr>
        <w:spacing w:line="360" w:lineRule="auto"/>
        <w:ind w:firstLine="420" w:firstLineChars="200"/>
        <w:rPr>
          <w:rFonts w:ascii="宋体" w:hAnsi="宋体" w:cs="Arial"/>
          <w:b/>
          <w:bCs/>
        </w:rPr>
      </w:pPr>
      <w:r>
        <w:rPr>
          <w:rFonts w:hint="eastAsia" w:ascii="宋体" w:hAnsi="宋体" w:cs="Arial"/>
        </w:rPr>
        <w:t>磋商小组成员有下列情形之一的，应当回避：</w:t>
      </w:r>
    </w:p>
    <w:p>
      <w:pPr>
        <w:pStyle w:val="62"/>
        <w:widowControl w:val="0"/>
        <w:spacing w:line="500" w:lineRule="exact"/>
        <w:ind w:firstLine="420" w:firstLineChars="200"/>
        <w:rPr>
          <w:rFonts w:ascii="宋体" w:hAnsi="宋体"/>
        </w:rPr>
      </w:pPr>
      <w:r>
        <w:rPr>
          <w:rFonts w:hint="eastAsia" w:ascii="宋体" w:hAnsi="宋体"/>
        </w:rPr>
        <w:t>（1）参加采购活动前三年内，与供应商存在劳动关系，或者担任过供应商的董事、监事，或者是供应商的控股股东或实际控制人；</w:t>
      </w:r>
    </w:p>
    <w:p>
      <w:pPr>
        <w:pStyle w:val="62"/>
        <w:widowControl w:val="0"/>
        <w:spacing w:line="500" w:lineRule="exact"/>
        <w:ind w:firstLine="420" w:firstLineChars="200"/>
        <w:rPr>
          <w:rFonts w:ascii="宋体" w:hAnsi="宋体"/>
        </w:rPr>
      </w:pPr>
      <w:r>
        <w:rPr>
          <w:rFonts w:ascii="宋体" w:hAnsi="宋体"/>
        </w:rPr>
        <w:t>（</w:t>
      </w:r>
      <w:r>
        <w:rPr>
          <w:rFonts w:hint="eastAsia" w:ascii="宋体" w:hAnsi="宋体"/>
        </w:rPr>
        <w:t>2</w:t>
      </w:r>
      <w:r>
        <w:rPr>
          <w:rFonts w:ascii="宋体" w:hAnsi="宋体"/>
        </w:rPr>
        <w:t>）与供应商的法定代表人或者负责人有夫妻、直系血亲、三代以内旁系血亲或者近姻亲关系；</w:t>
      </w:r>
    </w:p>
    <w:p>
      <w:pPr>
        <w:pStyle w:val="62"/>
        <w:widowControl w:val="0"/>
        <w:spacing w:line="500" w:lineRule="exact"/>
        <w:ind w:firstLine="420" w:firstLineChars="200"/>
        <w:rPr>
          <w:rFonts w:ascii="宋体" w:hAnsi="宋体"/>
        </w:rPr>
      </w:pPr>
      <w:r>
        <w:rPr>
          <w:rFonts w:ascii="宋体" w:hAnsi="宋体"/>
        </w:rPr>
        <w:t>（</w:t>
      </w:r>
      <w:r>
        <w:rPr>
          <w:rFonts w:hint="eastAsia" w:ascii="宋体" w:hAnsi="宋体"/>
        </w:rPr>
        <w:t>3</w:t>
      </w:r>
      <w:r>
        <w:rPr>
          <w:rFonts w:ascii="宋体" w:hAnsi="宋体"/>
        </w:rPr>
        <w:t>）与供应商有其他可能影响政府采购活动公平、公正进行的关系。</w:t>
      </w:r>
    </w:p>
    <w:p>
      <w:pPr>
        <w:pStyle w:val="62"/>
        <w:widowControl w:val="0"/>
        <w:spacing w:line="500" w:lineRule="exact"/>
        <w:ind w:firstLine="420" w:firstLineChars="200"/>
        <w:rPr>
          <w:rFonts w:ascii="宋体" w:hAnsi="宋体"/>
        </w:rPr>
      </w:pPr>
      <w:r>
        <w:rPr>
          <w:rFonts w:hint="eastAsia" w:ascii="宋体" w:hAnsi="宋体"/>
        </w:rPr>
        <w:t>另外，磋商小组成员</w:t>
      </w:r>
      <w:r>
        <w:rPr>
          <w:rFonts w:ascii="宋体" w:hAnsi="宋体"/>
        </w:rPr>
        <w:t>发现本人与参加采购活动的供应商有利害关系的，应当主动提出回避。采购人或者采购代理机构发现评审专家与参加采购活动的供应商有利害关系的，应当要求其回避。</w:t>
      </w:r>
    </w:p>
    <w:p>
      <w:pPr>
        <w:spacing w:line="360" w:lineRule="auto"/>
        <w:ind w:firstLine="420" w:firstLineChars="200"/>
        <w:rPr>
          <w:rFonts w:ascii="宋体" w:hAnsi="宋体"/>
        </w:rPr>
      </w:pPr>
      <w:r>
        <w:rPr>
          <w:rFonts w:hint="eastAsia" w:ascii="宋体" w:hAnsi="宋体"/>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360" w:lineRule="auto"/>
        <w:ind w:firstLine="420" w:firstLineChars="200"/>
        <w:rPr>
          <w:rFonts w:ascii="宋体" w:hAnsi="宋体"/>
        </w:rPr>
      </w:pPr>
      <w:r>
        <w:rPr>
          <w:rFonts w:hint="eastAsia" w:ascii="宋体" w:hAnsi="宋体"/>
        </w:rPr>
        <w:t>22.3竞争性磋商活动采用综合评分法评审。</w:t>
      </w:r>
    </w:p>
    <w:p>
      <w:pPr>
        <w:spacing w:line="360" w:lineRule="auto"/>
        <w:ind w:firstLine="420" w:firstLineChars="200"/>
        <w:rPr>
          <w:rFonts w:ascii="宋体" w:hAnsi="宋体"/>
        </w:rPr>
      </w:pPr>
      <w:r>
        <w:rPr>
          <w:rFonts w:hint="eastAsia" w:ascii="宋体" w:hAnsi="宋体"/>
        </w:rPr>
        <w:t>综合评分法，是指响应文件满足磋商文件全部实质性要求且按评审因素的量化指标评审得分最高的供应商为成交候选供应商的评审方法。</w:t>
      </w:r>
    </w:p>
    <w:p>
      <w:pPr>
        <w:spacing w:line="360" w:lineRule="auto"/>
        <w:ind w:firstLine="420" w:firstLineChars="200"/>
        <w:rPr>
          <w:rFonts w:ascii="宋体" w:hAnsi="宋体"/>
        </w:rPr>
      </w:pPr>
      <w:r>
        <w:rPr>
          <w:rFonts w:hint="eastAsia" w:ascii="宋体" w:hAnsi="宋体"/>
        </w:rPr>
        <w:t>22.4为保证磋商活动顺利进行，供应商可派相关技术人员进行现场答疑。</w:t>
      </w:r>
    </w:p>
    <w:p>
      <w:pPr>
        <w:spacing w:line="360" w:lineRule="auto"/>
        <w:ind w:firstLine="422" w:firstLineChars="200"/>
        <w:rPr>
          <w:rFonts w:ascii="宋体" w:hAnsi="宋体"/>
          <w:b/>
          <w:bCs/>
        </w:rPr>
      </w:pPr>
      <w:r>
        <w:rPr>
          <w:rFonts w:hint="eastAsia" w:ascii="宋体" w:hAnsi="宋体"/>
          <w:b/>
          <w:bCs/>
        </w:rPr>
        <w:t>23、评审</w:t>
      </w:r>
    </w:p>
    <w:p>
      <w:pPr>
        <w:spacing w:line="360" w:lineRule="auto"/>
        <w:ind w:firstLine="422" w:firstLineChars="200"/>
        <w:rPr>
          <w:rFonts w:ascii="宋体" w:hAnsi="宋体"/>
          <w:b/>
          <w:bCs/>
        </w:rPr>
      </w:pPr>
      <w:r>
        <w:rPr>
          <w:rFonts w:hint="eastAsia" w:ascii="宋体" w:hAnsi="宋体"/>
          <w:b/>
          <w:bCs/>
        </w:rPr>
        <w:t>23.1实质性响应审查。（详见第四章）</w:t>
      </w:r>
    </w:p>
    <w:p>
      <w:pPr>
        <w:spacing w:line="360" w:lineRule="auto"/>
        <w:ind w:firstLine="420" w:firstLineChars="200"/>
        <w:rPr>
          <w:rFonts w:ascii="宋体" w:hAnsi="宋体"/>
          <w:b/>
          <w:bCs/>
        </w:rPr>
      </w:pPr>
      <w:r>
        <w:rPr>
          <w:rFonts w:hint="eastAsia" w:ascii="宋体" w:hAnsi="宋体"/>
        </w:rPr>
        <w:t>磋商小组首先将对磋商响应文件的有效性、完整性和响应程度进行实质性响应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13" w:firstLineChars="196"/>
        <w:rPr>
          <w:rFonts w:ascii="宋体" w:hAnsi="宋体"/>
          <w:b/>
          <w:bCs/>
        </w:rPr>
      </w:pPr>
      <w:r>
        <w:rPr>
          <w:rFonts w:hint="eastAsia" w:ascii="宋体" w:hAnsi="宋体"/>
          <w:b/>
          <w:bCs/>
        </w:rPr>
        <w:t>23.2综合评审。（评分办法详见第五章）</w:t>
      </w:r>
    </w:p>
    <w:p>
      <w:pPr>
        <w:spacing w:line="360" w:lineRule="auto"/>
        <w:ind w:firstLine="411" w:firstLineChars="196"/>
        <w:rPr>
          <w:rFonts w:ascii="宋体" w:hAnsi="宋体"/>
        </w:rPr>
      </w:pPr>
      <w:r>
        <w:rPr>
          <w:rFonts w:hint="eastAsia" w:ascii="宋体" w:hAnsi="宋体"/>
        </w:rPr>
        <w:t>磋商小组只对实质上响应磋商文件要求的磋商响应文件按照评分细则进行综合评审。</w:t>
      </w:r>
    </w:p>
    <w:p>
      <w:pPr>
        <w:spacing w:line="360" w:lineRule="auto"/>
        <w:ind w:firstLine="411" w:firstLineChars="196"/>
        <w:rPr>
          <w:rFonts w:ascii="宋体" w:hAnsi="宋体"/>
        </w:rPr>
      </w:pPr>
      <w:r>
        <w:rPr>
          <w:rFonts w:hint="eastAsia" w:ascii="宋体" w:hAnsi="宋体"/>
        </w:rPr>
        <w:t>23.2.1各供应商通过</w:t>
      </w:r>
      <w:r>
        <w:rPr>
          <w:rFonts w:hint="eastAsia" w:ascii="宋体" w:hAnsi="宋体"/>
          <w:highlight w:val="yellow"/>
        </w:rPr>
        <w:t>签到顺序</w:t>
      </w:r>
      <w:r>
        <w:rPr>
          <w:rFonts w:hint="eastAsia" w:ascii="宋体" w:hAnsi="宋体"/>
        </w:rPr>
        <w:t>产生磋商排列顺序，磋商小组将按顺序分别与供应商就商务技术内容进行磋商并进行商务技术评分。</w:t>
      </w:r>
    </w:p>
    <w:p>
      <w:pPr>
        <w:spacing w:line="360" w:lineRule="auto"/>
        <w:ind w:firstLine="411" w:firstLineChars="196"/>
        <w:rPr>
          <w:rFonts w:ascii="宋体" w:hAnsi="宋体"/>
          <w:b/>
          <w:bCs/>
        </w:rPr>
      </w:pPr>
      <w:r>
        <w:rPr>
          <w:rFonts w:hint="eastAsia" w:ascii="宋体" w:hAnsi="宋体"/>
        </w:rPr>
        <w:t>23.2.2磋商小组所有成员按顺序集中与单一供应商分别进行磋商，并给予所有参加磋商的供应商平等的磋商机会。磋商并不限定只进行二轮报价，如果磋商小组认为有必要，可以要求供应商进行多轮报价。</w:t>
      </w:r>
      <w:r>
        <w:rPr>
          <w:rFonts w:hint="eastAsia" w:ascii="宋体" w:hAnsi="宋体"/>
          <w:b/>
          <w:bCs/>
        </w:rPr>
        <w:t>在磋商内容不做实质性变更及重大调整的前提下，供应商下轮报价不得高于上一轮报价。</w:t>
      </w:r>
      <w:r>
        <w:rPr>
          <w:rFonts w:hint="eastAsia" w:ascii="宋体" w:hAnsi="宋体"/>
          <w:b/>
          <w:bCs/>
          <w:highlight w:val="yellow"/>
        </w:rPr>
        <w:t>（本项目只进行两轮报价）</w:t>
      </w:r>
    </w:p>
    <w:p>
      <w:pPr>
        <w:spacing w:line="360" w:lineRule="auto"/>
        <w:ind w:firstLine="411" w:firstLineChars="196"/>
        <w:rPr>
          <w:rFonts w:ascii="宋体" w:hAnsi="宋体"/>
        </w:rPr>
      </w:pPr>
      <w:r>
        <w:rPr>
          <w:rFonts w:hint="eastAsia" w:ascii="宋体" w:hAnsi="宋体"/>
        </w:rPr>
        <w:t>磋商结束后，磋商小组应当要求所有继续参加磋商的供应商在规定时间内提交最后报价并进行价格评分（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最后报价也是签订合同的依据。</w:t>
      </w:r>
    </w:p>
    <w:p>
      <w:pPr>
        <w:spacing w:line="360" w:lineRule="auto"/>
        <w:ind w:firstLine="411" w:firstLineChars="196"/>
        <w:rPr>
          <w:rFonts w:ascii="宋体" w:hAnsi="宋体"/>
        </w:rPr>
      </w:pPr>
      <w:r>
        <w:rPr>
          <w:rFonts w:hint="eastAsia" w:ascii="宋体" w:hAnsi="宋体"/>
        </w:rPr>
        <w:t>23.2.3磋商小组将供应商的商务技术分和价格分汇总后得到供应商的最终评审得分，按照最终评审得分由高到低推荐成交候选人。</w:t>
      </w:r>
    </w:p>
    <w:p>
      <w:pPr>
        <w:spacing w:line="360" w:lineRule="auto"/>
        <w:ind w:firstLine="413" w:firstLineChars="196"/>
        <w:rPr>
          <w:rFonts w:ascii="宋体" w:hAnsi="宋体"/>
          <w:b/>
          <w:bCs/>
        </w:rPr>
      </w:pPr>
      <w:r>
        <w:rPr>
          <w:rFonts w:hint="eastAsia" w:ascii="宋体" w:hAnsi="宋体"/>
          <w:b/>
          <w:bCs/>
        </w:rPr>
        <w:t>最终评审得分出现两家或两家以上相同者，按最后报价由低到高排序确定成交候选供应商；评审总得分且最后报价相同的供应商，按照技术指标优劣顺序推荐。</w:t>
      </w:r>
    </w:p>
    <w:p>
      <w:pPr>
        <w:spacing w:line="360" w:lineRule="auto"/>
        <w:ind w:firstLine="411" w:firstLineChars="196"/>
        <w:rPr>
          <w:rFonts w:ascii="宋体" w:hAnsi="宋体"/>
        </w:rPr>
      </w:pPr>
      <w:r>
        <w:rPr>
          <w:rFonts w:hint="eastAsia" w:ascii="宋体" w:hAnsi="宋体"/>
        </w:rPr>
        <w:t>23.3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60" w:lineRule="auto"/>
        <w:ind w:firstLine="411" w:firstLineChars="196"/>
        <w:rPr>
          <w:rFonts w:ascii="宋体" w:hAnsi="宋体"/>
        </w:rPr>
      </w:pPr>
      <w:r>
        <w:rPr>
          <w:rFonts w:hint="eastAsia" w:ascii="宋体" w:hAnsi="宋体"/>
        </w:rPr>
        <w:t>23.4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pPr>
        <w:spacing w:line="500" w:lineRule="exact"/>
        <w:ind w:firstLine="315" w:firstLineChars="150"/>
        <w:jc w:val="left"/>
        <w:rPr>
          <w:rFonts w:ascii="宋体" w:hAnsi="宋体" w:cs="Arial"/>
        </w:rPr>
      </w:pPr>
      <w:r>
        <w:rPr>
          <w:rFonts w:hint="eastAsia" w:ascii="宋体" w:hAnsi="宋体"/>
        </w:rPr>
        <w:t>23.5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人递补，以此类推。</w:t>
      </w:r>
    </w:p>
    <w:p>
      <w:pPr>
        <w:spacing w:line="500" w:lineRule="exact"/>
        <w:ind w:left="517"/>
        <w:rPr>
          <w:rFonts w:ascii="宋体" w:hAnsi="宋体" w:cs="Arial"/>
          <w:b/>
          <w:bCs/>
        </w:rPr>
      </w:pPr>
      <w:r>
        <w:rPr>
          <w:rFonts w:hint="eastAsia" w:ascii="宋体" w:hAnsi="宋体" w:cs="Arial"/>
          <w:b/>
          <w:bCs/>
        </w:rPr>
        <w:t>24、异常情况处理</w:t>
      </w:r>
    </w:p>
    <w:p>
      <w:pPr>
        <w:spacing w:line="500" w:lineRule="exact"/>
        <w:ind w:left="517"/>
        <w:rPr>
          <w:rFonts w:ascii="宋体" w:hAnsi="宋体" w:cs="Arial"/>
          <w:b/>
          <w:bCs/>
        </w:rPr>
      </w:pPr>
      <w:r>
        <w:rPr>
          <w:rFonts w:hint="eastAsia" w:ascii="宋体" w:hAnsi="宋体" w:cs="Arial"/>
        </w:rPr>
        <w:t>24.1磋商时出现以下情况之一的，将重新组织磋商：</w:t>
      </w:r>
    </w:p>
    <w:p>
      <w:pPr>
        <w:spacing w:line="500" w:lineRule="exact"/>
        <w:ind w:left="540"/>
        <w:rPr>
          <w:rFonts w:ascii="宋体" w:hAnsi="宋体" w:cs="Arial"/>
        </w:rPr>
      </w:pPr>
      <w:r>
        <w:rPr>
          <w:rFonts w:hint="eastAsia" w:ascii="宋体" w:hAnsi="宋体" w:cs="Arial"/>
        </w:rPr>
        <w:t>1）供应商的报价均超过了采购预算，经过多轮磋商仍不能降到预算内、且采购人不能支付的；</w:t>
      </w:r>
    </w:p>
    <w:p>
      <w:pPr>
        <w:spacing w:line="500" w:lineRule="exact"/>
        <w:ind w:left="540"/>
        <w:rPr>
          <w:rFonts w:ascii="宋体" w:hAnsi="宋体" w:cs="Arial"/>
        </w:rPr>
      </w:pPr>
      <w:r>
        <w:rPr>
          <w:rFonts w:hint="eastAsia" w:ascii="宋体" w:hAnsi="宋体" w:cs="Arial"/>
        </w:rPr>
        <w:t>2）经过磋商，供应商所提供的货物服务仍无法满足磋商文件实质性要求、影响工作的；</w:t>
      </w:r>
    </w:p>
    <w:p>
      <w:pPr>
        <w:numPr>
          <w:ilvl w:val="0"/>
          <w:numId w:val="6"/>
        </w:numPr>
        <w:spacing w:line="500" w:lineRule="exact"/>
        <w:rPr>
          <w:rFonts w:ascii="宋体" w:hAnsi="宋体" w:cs="Arial"/>
        </w:rPr>
      </w:pPr>
      <w:r>
        <w:rPr>
          <w:rFonts w:hint="eastAsia" w:ascii="宋体" w:hAnsi="宋体" w:cs="Arial"/>
        </w:rPr>
        <w:t>出现影响采购公正的违法、违规行为的。</w:t>
      </w:r>
    </w:p>
    <w:p>
      <w:pPr>
        <w:spacing w:line="500" w:lineRule="exact"/>
        <w:rPr>
          <w:rFonts w:ascii="宋体" w:hAnsi="宋体" w:cs="Arial"/>
        </w:rPr>
      </w:pPr>
      <w:r>
        <w:rPr>
          <w:rFonts w:hint="eastAsia" w:ascii="宋体" w:hAnsi="宋体" w:cs="Arial"/>
        </w:rPr>
        <w:t xml:space="preserve"> </w:t>
      </w:r>
    </w:p>
    <w:p>
      <w:pPr>
        <w:pStyle w:val="58"/>
        <w:rPr>
          <w:color w:val="auto"/>
        </w:rPr>
      </w:pPr>
      <w:bookmarkStart w:id="61" w:name="_Toc511899310"/>
      <w:bookmarkEnd w:id="61"/>
      <w:bookmarkStart w:id="62" w:name="_Toc30817"/>
      <w:r>
        <w:rPr>
          <w:rFonts w:hint="eastAsia"/>
          <w:color w:val="auto"/>
        </w:rPr>
        <w:t>六、定标和授予合同</w:t>
      </w:r>
      <w:bookmarkEnd w:id="62"/>
    </w:p>
    <w:p>
      <w:pPr>
        <w:spacing w:line="500" w:lineRule="exact"/>
        <w:ind w:left="517"/>
        <w:rPr>
          <w:rFonts w:ascii="宋体" w:hAnsi="宋体" w:cs="Arial"/>
          <w:b/>
          <w:bCs/>
        </w:rPr>
      </w:pPr>
      <w:r>
        <w:rPr>
          <w:rFonts w:hint="eastAsia" w:ascii="宋体" w:hAnsi="宋体" w:cs="Arial"/>
          <w:b/>
          <w:bCs/>
        </w:rPr>
        <w:t>25、定标方式</w:t>
      </w:r>
    </w:p>
    <w:p>
      <w:pPr>
        <w:spacing w:line="500" w:lineRule="exact"/>
        <w:ind w:firstLine="525" w:firstLineChars="250"/>
        <w:rPr>
          <w:rFonts w:ascii="宋体" w:hAnsi="宋体"/>
          <w:shd w:val="clear" w:color="auto" w:fill="FFFFFF"/>
        </w:rPr>
      </w:pPr>
      <w:r>
        <w:rPr>
          <w:rFonts w:hint="eastAsia" w:ascii="宋体" w:hAnsi="宋体"/>
          <w:shd w:val="clear" w:color="auto" w:fill="FFFFFF"/>
        </w:rPr>
        <w:t>25.1采购人应当在收到评审报告后</w:t>
      </w:r>
      <w:r>
        <w:rPr>
          <w:rFonts w:hint="eastAsia"/>
          <w:shd w:val="clear" w:color="auto" w:fill="FFFFFF"/>
        </w:rPr>
        <w:t>5</w:t>
      </w:r>
      <w:r>
        <w:rPr>
          <w:rFonts w:hint="eastAsia" w:ascii="宋体" w:hAnsi="宋体"/>
          <w:shd w:val="clear" w:color="auto" w:fill="FFFFFF"/>
        </w:rPr>
        <w:t>个工作日内，从评审报告提出的成交候选人中，按照排序由高到低的原则确定成交供应商。</w:t>
      </w:r>
    </w:p>
    <w:p>
      <w:pPr>
        <w:spacing w:line="500" w:lineRule="exact"/>
        <w:ind w:firstLine="525" w:firstLineChars="250"/>
        <w:rPr>
          <w:rFonts w:ascii="宋体" w:hAnsi="宋体" w:cs="Arial"/>
        </w:rPr>
      </w:pPr>
      <w:r>
        <w:rPr>
          <w:rFonts w:hint="eastAsia" w:ascii="宋体" w:hAnsi="宋体"/>
        </w:rPr>
        <w:t>25.2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pPr>
        <w:spacing w:line="500" w:lineRule="exact"/>
        <w:ind w:firstLine="527" w:firstLineChars="250"/>
        <w:rPr>
          <w:rFonts w:ascii="宋体" w:hAnsi="宋体"/>
          <w:shd w:val="clear" w:color="auto" w:fill="FFFFFF"/>
        </w:rPr>
      </w:pPr>
      <w:r>
        <w:rPr>
          <w:rFonts w:hint="eastAsia" w:ascii="宋体" w:hAnsi="宋体" w:cs="Arial"/>
          <w:b/>
          <w:bCs/>
        </w:rPr>
        <w:t>26、签订合同</w:t>
      </w:r>
    </w:p>
    <w:p>
      <w:pPr>
        <w:spacing w:line="500" w:lineRule="exact"/>
        <w:ind w:firstLine="525" w:firstLineChars="250"/>
        <w:rPr>
          <w:rFonts w:ascii="宋体" w:hAnsi="宋体" w:cs="Arial"/>
        </w:rPr>
      </w:pPr>
      <w:r>
        <w:rPr>
          <w:rFonts w:hint="eastAsia" w:ascii="宋体" w:hAnsi="宋体"/>
          <w:shd w:val="clear" w:color="auto" w:fill="FFFFFF"/>
        </w:rPr>
        <w:t>26.1采购人与成交人应当在成交通知书发出之日起三十日内</w:t>
      </w:r>
      <w:r>
        <w:rPr>
          <w:rFonts w:hint="eastAsia" w:ascii="宋体" w:hAnsi="宋体" w:cs="Arial"/>
        </w:rPr>
        <w:t>（具体时限本文件有约定的，按约定执行</w:t>
      </w:r>
      <w:r>
        <w:rPr>
          <w:rFonts w:hint="eastAsia" w:ascii="宋体" w:hAnsi="宋体"/>
          <w:shd w:val="clear" w:color="auto" w:fill="FFFFFF"/>
        </w:rPr>
        <w:t>），按照磋商文件确定的合同文本以及采购标的、规格型号、采购金额、采购数量、技术和服务要求等事项签订政府采购合同。</w:t>
      </w:r>
      <w:r>
        <w:rPr>
          <w:rFonts w:hint="eastAsia" w:ascii="宋体" w:hAnsi="宋体" w:cs="Arial"/>
        </w:rPr>
        <w:t xml:space="preserve"> </w:t>
      </w:r>
    </w:p>
    <w:p>
      <w:pPr>
        <w:spacing w:line="500" w:lineRule="exact"/>
        <w:ind w:firstLine="525" w:firstLineChars="250"/>
        <w:rPr>
          <w:rFonts w:ascii="宋体" w:hAnsi="宋体" w:cs="Arial"/>
        </w:rPr>
      </w:pPr>
      <w:r>
        <w:rPr>
          <w:rFonts w:hint="eastAsia" w:ascii="宋体" w:hAnsi="宋体" w:cs="Arial"/>
        </w:rPr>
        <w:t>26.2采购人在签订合同时，可以在不改变合同其他条款的前提下变更采购数量，但变更的金额不得超过成交人原来总价的10%。（</w:t>
      </w:r>
      <w:r>
        <w:rPr>
          <w:rFonts w:hint="eastAsia" w:ascii="宋体" w:hAnsi="宋体" w:cs="Arial"/>
          <w:highlight w:val="yellow"/>
        </w:rPr>
        <w:t>本条不适用本项目</w:t>
      </w:r>
      <w:r>
        <w:rPr>
          <w:rFonts w:hint="eastAsia" w:ascii="宋体" w:hAnsi="宋体" w:cs="Arial"/>
        </w:rPr>
        <w:t>）</w:t>
      </w:r>
    </w:p>
    <w:p>
      <w:pPr>
        <w:spacing w:line="500" w:lineRule="exact"/>
        <w:ind w:firstLine="525" w:firstLineChars="250"/>
        <w:rPr>
          <w:rFonts w:ascii="宋体" w:hAnsi="宋体" w:cs="Arial"/>
        </w:rPr>
      </w:pPr>
      <w:r>
        <w:rPr>
          <w:rFonts w:hint="eastAsia" w:ascii="宋体" w:hAnsi="宋体" w:cs="Arial"/>
        </w:rPr>
        <w:t>26.3中标通知书发出后，采购人无正当理由不与中标供应商签订采购合同的，将依据相关规定给予处理。</w:t>
      </w:r>
    </w:p>
    <w:p>
      <w:pPr>
        <w:numPr>
          <w:ilvl w:val="0"/>
          <w:numId w:val="7"/>
        </w:numPr>
        <w:spacing w:line="500" w:lineRule="exact"/>
        <w:rPr>
          <w:rFonts w:ascii="宋体" w:hAnsi="宋体" w:cs="Arial"/>
          <w:b/>
          <w:bCs/>
        </w:rPr>
      </w:pPr>
      <w:r>
        <w:rPr>
          <w:rFonts w:hint="eastAsia" w:ascii="宋体" w:hAnsi="宋体" w:cs="Arial"/>
          <w:b/>
          <w:bCs/>
        </w:rPr>
        <w:t>履约保证金</w:t>
      </w:r>
    </w:p>
    <w:p>
      <w:pPr>
        <w:spacing w:before="93" w:after="93" w:line="540" w:lineRule="exact"/>
        <w:ind w:firstLine="630" w:firstLineChars="300"/>
        <w:rPr>
          <w:rFonts w:ascii="宋体" w:hAnsi="宋体" w:cs="Arial"/>
        </w:rPr>
      </w:pPr>
      <w:r>
        <w:rPr>
          <w:rFonts w:hint="eastAsia" w:ascii="宋体" w:hAnsi="宋体" w:cs="Arial"/>
        </w:rPr>
        <w:t>27.1 成交供应商在签订合同前必须按竞争性磋商文件的规定，及时、足额向采购人交纳履约保证金。</w:t>
      </w:r>
    </w:p>
    <w:p>
      <w:pPr>
        <w:spacing w:before="93" w:after="93" w:line="540" w:lineRule="exact"/>
        <w:ind w:firstLine="630" w:firstLineChars="300"/>
        <w:rPr>
          <w:rFonts w:ascii="宋体" w:hAnsi="宋体" w:cs="Arial"/>
        </w:rPr>
      </w:pPr>
      <w:r>
        <w:rPr>
          <w:rFonts w:hint="eastAsia" w:ascii="宋体" w:hAnsi="宋体" w:cs="Arial"/>
        </w:rPr>
        <w:t>27.2履约保证金是督促成交供应商按时、按质、按量履行合同的一个经济制约手段。当采购人因成交供应商违约而造成损失时，可在无须征得成交供应商同意的情况下首先从其所交纳的履约保证金中获取相应的补偿。</w:t>
      </w:r>
    </w:p>
    <w:p>
      <w:pPr>
        <w:spacing w:line="500" w:lineRule="exact"/>
        <w:ind w:left="840" w:hanging="840"/>
        <w:rPr>
          <w:rFonts w:ascii="宋体" w:hAnsi="宋体" w:cs="Arial"/>
        </w:rPr>
      </w:pPr>
      <w:r>
        <w:rPr>
          <w:rFonts w:hint="eastAsia" w:ascii="宋体" w:hAnsi="宋体" w:cs="Arial"/>
        </w:rPr>
        <w:t xml:space="preserve"> </w:t>
      </w:r>
    </w:p>
    <w:p>
      <w:pPr>
        <w:pStyle w:val="58"/>
        <w:rPr>
          <w:color w:val="auto"/>
        </w:rPr>
      </w:pPr>
      <w:bookmarkStart w:id="63" w:name="_Toc511899311"/>
      <w:bookmarkEnd w:id="63"/>
      <w:bookmarkStart w:id="64" w:name="_Toc3356"/>
      <w:r>
        <w:rPr>
          <w:rFonts w:hint="eastAsia"/>
          <w:color w:val="auto"/>
        </w:rPr>
        <w:t>七、质疑与投诉</w:t>
      </w:r>
      <w:bookmarkEnd w:id="64"/>
    </w:p>
    <w:p>
      <w:pPr>
        <w:spacing w:line="500" w:lineRule="exact"/>
        <w:ind w:left="517"/>
        <w:rPr>
          <w:rFonts w:ascii="宋体" w:hAnsi="宋体" w:cs="Arial"/>
          <w:b/>
          <w:bCs/>
        </w:rPr>
      </w:pPr>
      <w:r>
        <w:rPr>
          <w:rFonts w:hint="eastAsia" w:ascii="宋体" w:hAnsi="宋体" w:cs="Arial"/>
          <w:b/>
          <w:bCs/>
        </w:rPr>
        <w:t>28、质疑</w:t>
      </w:r>
    </w:p>
    <w:p>
      <w:pPr>
        <w:spacing w:line="500" w:lineRule="exact"/>
        <w:ind w:firstLine="525" w:firstLineChars="250"/>
        <w:rPr>
          <w:rFonts w:ascii="宋体" w:hAnsi="宋体" w:cs="Arial"/>
        </w:rPr>
      </w:pPr>
      <w:r>
        <w:rPr>
          <w:rFonts w:hint="eastAsia" w:ascii="宋体" w:hAnsi="宋体" w:cs="Arial"/>
        </w:rPr>
        <w:t>28.1</w:t>
      </w:r>
      <w:r>
        <w:rPr>
          <w:rFonts w:ascii="宋体" w:hAnsi="宋体" w:cs="Arial"/>
        </w:rPr>
        <w:t>参与</w:t>
      </w:r>
      <w:r>
        <w:rPr>
          <w:rFonts w:hint="eastAsia" w:ascii="宋体" w:hAnsi="宋体" w:cs="Arial"/>
        </w:rPr>
        <w:t>本</w:t>
      </w:r>
      <w:r>
        <w:rPr>
          <w:rFonts w:ascii="宋体" w:hAnsi="宋体" w:cs="Arial"/>
        </w:rPr>
        <w:t>项目采购活动的</w:t>
      </w:r>
      <w:r>
        <w:rPr>
          <w:rFonts w:hint="eastAsia" w:ascii="宋体" w:hAnsi="宋体" w:cs="Arial"/>
        </w:rPr>
        <w:t>供应商（即递交了磋商响应文件的供应商）对成交结果提出质疑的，最迟可以在成交结果公告期限届满之日起七个工作日内，以书面形式向采购人或代理机构提出质疑。</w:t>
      </w:r>
    </w:p>
    <w:p>
      <w:pPr>
        <w:spacing w:line="500" w:lineRule="exact"/>
        <w:ind w:firstLine="525" w:firstLineChars="250"/>
        <w:rPr>
          <w:rFonts w:ascii="宋体" w:hAnsi="宋体" w:cs="Arial"/>
        </w:rPr>
      </w:pPr>
      <w:r>
        <w:rPr>
          <w:rFonts w:hint="eastAsia" w:ascii="宋体" w:hAnsi="宋体" w:cs="Arial"/>
        </w:rPr>
        <w:t>28.2</w:t>
      </w:r>
      <w:r>
        <w:rPr>
          <w:rFonts w:ascii="宋体" w:hAnsi="宋体" w:cs="Arial"/>
        </w:rPr>
        <w:t>参与</w:t>
      </w:r>
      <w:r>
        <w:rPr>
          <w:rFonts w:hint="eastAsia" w:ascii="宋体" w:hAnsi="宋体" w:cs="Arial"/>
        </w:rPr>
        <w:t>本</w:t>
      </w:r>
      <w:r>
        <w:rPr>
          <w:rFonts w:ascii="宋体" w:hAnsi="宋体" w:cs="Arial"/>
        </w:rPr>
        <w:t>项目采购活动的</w:t>
      </w:r>
      <w:r>
        <w:rPr>
          <w:rFonts w:hint="eastAsia" w:ascii="宋体" w:hAnsi="宋体" w:cs="Arial"/>
        </w:rPr>
        <w:t>供应商（即递交了磋商响应文件的供应商）认为采购过程使自己的权益受到损害的，可以在各采购程序环节结束之日起七个工作日内，以书面形式向采购人或代理机构提出质疑。</w:t>
      </w:r>
    </w:p>
    <w:p>
      <w:pPr>
        <w:spacing w:line="500" w:lineRule="exact"/>
        <w:ind w:firstLine="525" w:firstLineChars="250"/>
        <w:rPr>
          <w:rFonts w:ascii="宋体" w:hAnsi="宋体" w:cs="Arial"/>
        </w:rPr>
      </w:pPr>
      <w:r>
        <w:rPr>
          <w:rFonts w:hint="eastAsia" w:ascii="宋体" w:hAnsi="宋体" w:cs="Arial"/>
        </w:rPr>
        <w:t xml:space="preserve"> 28.3</w:t>
      </w:r>
      <w:r>
        <w:rPr>
          <w:rFonts w:hint="eastAsia" w:ascii="宋体" w:hAnsi="宋体"/>
        </w:rPr>
        <w:t>质疑函的内容应包括</w:t>
      </w:r>
      <w:r>
        <w:rPr>
          <w:rFonts w:ascii="宋体" w:hAnsi="宋体" w:cs="Arial"/>
        </w:rPr>
        <w:t>《政府采购质疑和投诉办法》</w:t>
      </w:r>
      <w:r>
        <w:rPr>
          <w:rFonts w:hint="eastAsia" w:ascii="宋体" w:hAnsi="宋体" w:cs="Arial"/>
        </w:rPr>
        <w:t>（财政部令第</w:t>
      </w:r>
      <w:r>
        <w:rPr>
          <w:rFonts w:hint="eastAsia" w:ascii="Arial" w:hAnsi="Arial" w:cs="Arial"/>
        </w:rPr>
        <w:t>94</w:t>
      </w:r>
      <w:r>
        <w:rPr>
          <w:rFonts w:hint="eastAsia" w:ascii="宋体" w:hAnsi="宋体" w:cs="Arial"/>
        </w:rPr>
        <w:t>号）第十二条规定的内容，质疑函的格式可参照</w:t>
      </w:r>
      <w:r>
        <w:rPr>
          <w:rFonts w:hint="eastAsia" w:ascii="宋体" w:hAnsi="宋体"/>
        </w:rPr>
        <w:t>宿州市公共资源交易中心门户网站办事流程--资料下载中的质疑函范本</w:t>
      </w:r>
      <w:r>
        <w:rPr>
          <w:rFonts w:hint="eastAsia" w:ascii="宋体" w:hAnsi="宋体" w:cs="Arial"/>
        </w:rPr>
        <w:t>。</w:t>
      </w:r>
    </w:p>
    <w:p>
      <w:pPr>
        <w:spacing w:line="500" w:lineRule="exact"/>
        <w:ind w:firstLine="525" w:firstLineChars="250"/>
        <w:rPr>
          <w:rFonts w:ascii="宋体" w:hAnsi="宋体" w:cs="Arial"/>
        </w:rPr>
      </w:pPr>
      <w:r>
        <w:rPr>
          <w:rFonts w:hint="eastAsia" w:ascii="宋体" w:hAnsi="宋体" w:cs="Arial"/>
        </w:rPr>
        <w:t xml:space="preserve"> 28.4采购人或代理机构在收到供应商的质疑函后，将审查质疑函的格式、内容以及所附的证明文件是否符合要求。如不符合，退回供应商；如符合要求，则在收到书面质疑后七个工作日内，对质疑内容作出书面答复。</w:t>
      </w:r>
    </w:p>
    <w:p>
      <w:pPr>
        <w:spacing w:line="500" w:lineRule="exact"/>
        <w:ind w:firstLine="514" w:firstLineChars="245"/>
        <w:rPr>
          <w:rFonts w:ascii="宋体" w:hAnsi="宋体" w:cs="Arial"/>
        </w:rPr>
      </w:pPr>
      <w:r>
        <w:rPr>
          <w:rFonts w:hint="eastAsia" w:ascii="宋体" w:hAnsi="宋体" w:cs="Arial"/>
        </w:rPr>
        <w:t xml:space="preserve"> 28.5</w:t>
      </w:r>
      <w:r>
        <w:rPr>
          <w:rFonts w:hint="eastAsia" w:ascii="宋体" w:hAnsi="宋体"/>
        </w:rPr>
        <w:t>供应商对同一环节的质疑，应</w:t>
      </w:r>
      <w:r>
        <w:rPr>
          <w:rFonts w:ascii="宋体" w:hAnsi="宋体" w:cs="Arial"/>
        </w:rPr>
        <w:t>在法定质疑期内一次性提出</w:t>
      </w:r>
      <w:r>
        <w:rPr>
          <w:rFonts w:hint="eastAsia" w:ascii="宋体" w:hAnsi="宋体" w:cs="Arial"/>
        </w:rPr>
        <w:t>，采购人或代理机构不再接受同一供应商针对同一环节提出的再次质疑。</w:t>
      </w:r>
    </w:p>
    <w:p>
      <w:pPr>
        <w:spacing w:before="93" w:after="93" w:line="540" w:lineRule="exact"/>
        <w:ind w:firstLine="527" w:firstLineChars="250"/>
        <w:rPr>
          <w:rFonts w:ascii="宋体" w:hAnsi="宋体" w:cs="Arial"/>
          <w:b/>
          <w:bCs/>
        </w:rPr>
      </w:pPr>
      <w:r>
        <w:rPr>
          <w:rFonts w:hint="eastAsia" w:ascii="宋体" w:hAnsi="宋体" w:cs="Arial"/>
          <w:b/>
          <w:bCs/>
        </w:rPr>
        <w:t>29、投诉</w:t>
      </w:r>
    </w:p>
    <w:p>
      <w:pPr>
        <w:spacing w:line="500" w:lineRule="exact"/>
        <w:ind w:firstLine="525" w:firstLineChars="250"/>
        <w:rPr>
          <w:rFonts w:ascii="宋体" w:hAnsi="宋体" w:cs="Arial"/>
          <w:b/>
          <w:bCs/>
        </w:rPr>
      </w:pPr>
      <w:r>
        <w:rPr>
          <w:rFonts w:hint="eastAsia" w:ascii="宋体" w:hAnsi="宋体" w:cs="Arial"/>
        </w:rPr>
        <w:t>29.1质疑人对采购单位的答复不满意，或者采购单位未在规定的时间内答复的，可以在答复期满后十五个工作日内按有关规定，向同级政府采购监管部门进行投诉。</w:t>
      </w:r>
    </w:p>
    <w:p>
      <w:pPr>
        <w:spacing w:line="500" w:lineRule="exact"/>
        <w:ind w:left="266"/>
        <w:rPr>
          <w:rFonts w:ascii="宋体" w:hAnsi="宋体" w:cs="Arial"/>
          <w:b/>
          <w:bCs/>
        </w:rPr>
      </w:pPr>
      <w:r>
        <w:rPr>
          <w:rFonts w:hint="eastAsia" w:ascii="宋体" w:hAnsi="宋体" w:cs="Arial"/>
          <w:b/>
          <w:bCs/>
        </w:rPr>
        <w:t xml:space="preserve"> </w:t>
      </w:r>
    </w:p>
    <w:p>
      <w:pPr>
        <w:pStyle w:val="59"/>
        <w:keepLines w:val="0"/>
        <w:rPr>
          <w:rFonts w:ascii="黑体"/>
          <w:color w:val="auto"/>
        </w:rPr>
      </w:pPr>
      <w:bookmarkStart w:id="65" w:name="_Toc511899312"/>
      <w:bookmarkEnd w:id="65"/>
      <w:bookmarkStart w:id="66" w:name="_Toc272218555"/>
    </w:p>
    <w:p>
      <w:pPr>
        <w:rPr>
          <w:rFonts w:ascii="黑体"/>
        </w:rPr>
      </w:pPr>
    </w:p>
    <w:p>
      <w:pPr>
        <w:rPr>
          <w:rFonts w:ascii="黑体"/>
        </w:rPr>
      </w:pPr>
    </w:p>
    <w:p>
      <w:pPr>
        <w:pStyle w:val="59"/>
        <w:keepLines w:val="0"/>
        <w:rPr>
          <w:rFonts w:ascii="黑体"/>
          <w:color w:val="auto"/>
        </w:rPr>
      </w:pPr>
    </w:p>
    <w:bookmarkEnd w:id="66"/>
    <w:p>
      <w:pPr>
        <w:pStyle w:val="5"/>
      </w:pPr>
      <w:r>
        <w:br w:type="page"/>
      </w:r>
    </w:p>
    <w:p>
      <w:pPr>
        <w:pStyle w:val="5"/>
        <w:jc w:val="center"/>
        <w:rPr>
          <w:rFonts w:eastAsia="黑体"/>
          <w:sz w:val="32"/>
          <w:szCs w:val="32"/>
        </w:rPr>
      </w:pPr>
      <w:bookmarkStart w:id="67" w:name="_Toc25214"/>
      <w:bookmarkStart w:id="68" w:name="_Toc22440"/>
      <w:r>
        <w:rPr>
          <w:rFonts w:hint="eastAsia"/>
          <w:sz w:val="32"/>
          <w:szCs w:val="32"/>
        </w:rPr>
        <w:t>第七章 采购</w:t>
      </w:r>
      <w:r>
        <w:rPr>
          <w:sz w:val="32"/>
          <w:szCs w:val="32"/>
        </w:rPr>
        <w:t>合同</w:t>
      </w:r>
      <w:r>
        <w:rPr>
          <w:rFonts w:hint="eastAsia"/>
          <w:sz w:val="32"/>
          <w:szCs w:val="32"/>
        </w:rPr>
        <w:t>（服务类/工程类供参考）</w:t>
      </w:r>
      <w:bookmarkEnd w:id="67"/>
      <w:bookmarkEnd w:id="68"/>
    </w:p>
    <w:p>
      <w:pPr>
        <w:jc w:val="center"/>
        <w:rPr>
          <w:b/>
          <w:bCs/>
        </w:rPr>
      </w:pPr>
      <w:bookmarkStart w:id="69" w:name="_Toc27685"/>
      <w:r>
        <w:rPr>
          <w:rFonts w:hint="eastAsia"/>
          <w:b/>
          <w:bCs/>
        </w:rPr>
        <w:t>项目编号：</w:t>
      </w:r>
      <w:bookmarkEnd w:id="69"/>
    </w:p>
    <w:p>
      <w:pPr>
        <w:pStyle w:val="6"/>
        <w:rPr>
          <w:rFonts w:ascii="宋体" w:hAnsi="宋体" w:cs="Arial"/>
          <w:sz w:val="28"/>
          <w:szCs w:val="28"/>
        </w:rPr>
      </w:pPr>
      <w:bookmarkStart w:id="70" w:name="_Toc20716"/>
      <w:bookmarkStart w:id="71" w:name="_Toc31190"/>
      <w:r>
        <w:rPr>
          <w:rFonts w:hint="eastAsia" w:ascii="黑体"/>
          <w:sz w:val="28"/>
          <w:szCs w:val="28"/>
        </w:rPr>
        <w:t>一、合同条款前附表</w:t>
      </w:r>
      <w:bookmarkEnd w:id="70"/>
      <w:bookmarkEnd w:id="71"/>
      <w:r>
        <w:rPr>
          <w:rFonts w:hint="eastAsia" w:ascii="宋体" w:hAnsi="宋体" w:cs="Arial"/>
          <w:sz w:val="28"/>
          <w:szCs w:val="28"/>
        </w:rPr>
        <w:t xml:space="preserve"> </w:t>
      </w:r>
    </w:p>
    <w:tbl>
      <w:tblPr>
        <w:tblStyle w:val="2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560" w:lineRule="exact"/>
              <w:ind w:left="-12"/>
              <w:jc w:val="center"/>
              <w:rPr>
                <w:rFonts w:ascii="宋体" w:hAnsi="宋体" w:cs="Arial"/>
              </w:rPr>
            </w:pPr>
            <w:bookmarkStart w:id="72" w:name="_Hlk450145418"/>
            <w:r>
              <w:rPr>
                <w:rFonts w:hint="eastAsia" w:ascii="宋体" w:hAnsi="宋体" w:cs="Arial"/>
              </w:rPr>
              <w:t>序号</w:t>
            </w:r>
            <w:bookmarkEnd w:id="72"/>
          </w:p>
        </w:tc>
        <w:tc>
          <w:tcPr>
            <w:tcW w:w="7916" w:type="dxa"/>
            <w:tcBorders>
              <w:top w:val="single" w:color="auto" w:sz="4" w:space="0"/>
              <w:left w:val="nil"/>
              <w:bottom w:val="single" w:color="auto" w:sz="4" w:space="0"/>
              <w:right w:val="single" w:color="auto" w:sz="4" w:space="0"/>
            </w:tcBorders>
            <w:vAlign w:val="center"/>
          </w:tcPr>
          <w:p>
            <w:pPr>
              <w:spacing w:line="560" w:lineRule="exact"/>
              <w:ind w:left="360"/>
              <w:jc w:val="center"/>
              <w:rPr>
                <w:rFonts w:ascii="宋体" w:hAnsi="宋体" w:cs="Arial"/>
              </w:rPr>
            </w:pPr>
            <w:r>
              <w:rPr>
                <w:rFonts w:hint="eastAsia" w:ascii="宋体" w:hAnsi="宋体" w:cs="Aria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560" w:lineRule="exact"/>
              <w:ind w:left="-12"/>
              <w:jc w:val="center"/>
              <w:rPr>
                <w:rFonts w:ascii="宋体" w:hAnsi="宋体" w:cs="Arial"/>
              </w:rPr>
            </w:pPr>
            <w:r>
              <w:rPr>
                <w:rFonts w:hint="eastAsia" w:ascii="宋体" w:hAnsi="宋体" w:cs="Arial"/>
              </w:rPr>
              <w:t>1</w:t>
            </w:r>
          </w:p>
        </w:tc>
        <w:tc>
          <w:tcPr>
            <w:tcW w:w="7916" w:type="dxa"/>
            <w:tcBorders>
              <w:top w:val="single" w:color="auto" w:sz="4" w:space="0"/>
              <w:left w:val="nil"/>
              <w:bottom w:val="single" w:color="auto" w:sz="4" w:space="0"/>
              <w:right w:val="single" w:color="auto" w:sz="4" w:space="0"/>
            </w:tcBorders>
            <w:vAlign w:val="center"/>
          </w:tcPr>
          <w:p>
            <w:pPr>
              <w:rPr>
                <w:rFonts w:ascii="宋体" w:hAnsi="宋体" w:cs="Arial"/>
              </w:rPr>
            </w:pPr>
            <w:r>
              <w:rPr>
                <w:rFonts w:hint="eastAsia" w:ascii="宋体" w:hAnsi="宋体" w:cs="Arial"/>
              </w:rPr>
              <w:t>付款人：</w:t>
            </w:r>
            <w:r>
              <w:rPr>
                <w:rFonts w:hint="eastAsia" w:hAnsi="宋体"/>
              </w:rPr>
              <w:t>宿州交通文化旅游投资集团有限公司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560" w:lineRule="exact"/>
              <w:ind w:left="-12"/>
              <w:jc w:val="center"/>
              <w:rPr>
                <w:rFonts w:ascii="宋体" w:hAnsi="宋体" w:cs="Arial"/>
              </w:rPr>
            </w:pPr>
            <w:r>
              <w:rPr>
                <w:rFonts w:hint="eastAsia" w:ascii="宋体" w:hAnsi="宋体" w:cs="Arial"/>
              </w:rPr>
              <w:t>2</w:t>
            </w:r>
          </w:p>
        </w:tc>
        <w:tc>
          <w:tcPr>
            <w:tcW w:w="7916" w:type="dxa"/>
            <w:tcBorders>
              <w:top w:val="single" w:color="auto" w:sz="4" w:space="0"/>
              <w:left w:val="nil"/>
              <w:bottom w:val="single" w:color="auto" w:sz="4" w:space="0"/>
              <w:right w:val="single" w:color="auto" w:sz="4" w:space="0"/>
            </w:tcBorders>
            <w:vAlign w:val="center"/>
          </w:tcPr>
          <w:p>
            <w:pPr>
              <w:spacing w:line="560" w:lineRule="exact"/>
              <w:rPr>
                <w:rFonts w:ascii="宋体" w:hAnsi="宋体" w:cs="Arial"/>
              </w:rPr>
            </w:pPr>
            <w:r>
              <w:rPr>
                <w:rFonts w:hint="eastAsia" w:ascii="宋体" w:hAnsi="宋体" w:cs="Arial"/>
              </w:rPr>
              <w:t>付款条件：</w:t>
            </w:r>
            <w:r>
              <w:rPr>
                <w:rFonts w:hint="eastAsia" w:ascii="宋体" w:hAnsi="宋体" w:cs="Arial"/>
                <w:lang w:val="en-US" w:eastAsia="zh-CN"/>
              </w:rPr>
              <w:t>采购人与供应商签订合同且供应商已缴纳履约保证金后，付款至合同总价的30%；</w:t>
            </w:r>
            <w:r>
              <w:rPr>
                <w:rFonts w:hint="eastAsia" w:ascii="宋体" w:hAnsi="宋体" w:cs="Arial"/>
              </w:rPr>
              <w:t>经采购部门初审后，认为具备上报主管部门审批的送审稿后，付款</w:t>
            </w:r>
            <w:r>
              <w:rPr>
                <w:rFonts w:hint="eastAsia" w:ascii="宋体" w:hAnsi="宋体" w:cs="Arial"/>
                <w:lang w:val="en-US" w:eastAsia="zh-CN"/>
              </w:rPr>
              <w:t>至</w:t>
            </w:r>
            <w:r>
              <w:rPr>
                <w:rFonts w:hint="eastAsia" w:ascii="宋体" w:hAnsi="宋体" w:cs="Arial"/>
              </w:rPr>
              <w:t>合同总价</w:t>
            </w:r>
            <w:r>
              <w:rPr>
                <w:rFonts w:hint="eastAsia" w:ascii="宋体" w:hAnsi="宋体" w:cs="Arial"/>
                <w:lang w:val="en-US" w:eastAsia="zh-CN"/>
              </w:rPr>
              <w:t>7</w:t>
            </w:r>
            <w:r>
              <w:rPr>
                <w:rFonts w:hint="eastAsia" w:ascii="宋体" w:hAnsi="宋体" w:cs="Arial"/>
              </w:rPr>
              <w:t>0%；经主管部门审批同意后，拨付至合同总价的90%；剩余10%自主管部门审批同意一年后付清。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pPr>
              <w:spacing w:line="560" w:lineRule="exact"/>
              <w:ind w:left="-12"/>
              <w:jc w:val="center"/>
              <w:rPr>
                <w:rFonts w:ascii="宋体" w:hAnsi="宋体" w:cs="Arial"/>
              </w:rPr>
            </w:pPr>
            <w:r>
              <w:rPr>
                <w:rFonts w:hint="eastAsia" w:ascii="宋体" w:hAnsi="宋体" w:cs="Arial"/>
              </w:rPr>
              <w:t>3</w:t>
            </w:r>
          </w:p>
        </w:tc>
        <w:tc>
          <w:tcPr>
            <w:tcW w:w="7916" w:type="dxa"/>
            <w:tcBorders>
              <w:top w:val="single" w:color="auto" w:sz="4" w:space="0"/>
              <w:left w:val="nil"/>
              <w:bottom w:val="single" w:color="auto" w:sz="4" w:space="0"/>
              <w:right w:val="single" w:color="auto" w:sz="4" w:space="0"/>
            </w:tcBorders>
            <w:vAlign w:val="center"/>
          </w:tcPr>
          <w:p>
            <w:pPr>
              <w:spacing w:line="560" w:lineRule="exact"/>
              <w:rPr>
                <w:rFonts w:ascii="宋体" w:hAnsi="宋体" w:cs="Arial"/>
              </w:rPr>
            </w:pPr>
            <w:r>
              <w:rPr>
                <w:rFonts w:hint="eastAsia" w:ascii="宋体" w:hAnsi="宋体" w:cs="Arial"/>
              </w:rPr>
              <w:t>履约保证金：中标供应商在签订合同时提交合同总价</w:t>
            </w:r>
            <w:r>
              <w:rPr>
                <w:rFonts w:hint="eastAsia" w:ascii="宋体" w:hAnsi="宋体" w:cs="Arial"/>
                <w:lang w:val="en-US" w:eastAsia="zh-CN"/>
              </w:rPr>
              <w:t>5</w:t>
            </w:r>
            <w:r>
              <w:rPr>
                <w:rFonts w:hint="eastAsia" w:ascii="宋体" w:hAnsi="宋体" w:cs="Arial"/>
              </w:rPr>
              <w:t>%的履约保证金。</w:t>
            </w:r>
          </w:p>
        </w:tc>
      </w:tr>
    </w:tbl>
    <w:p>
      <w:pPr>
        <w:pStyle w:val="6"/>
      </w:pPr>
      <w:bookmarkStart w:id="73" w:name="_Toc727"/>
      <w:bookmarkStart w:id="74" w:name="_Toc14952"/>
      <w:r>
        <w:rPr>
          <w:rFonts w:hint="eastAsia"/>
        </w:rPr>
        <w:t>二、合同条款</w:t>
      </w:r>
      <w:bookmarkEnd w:id="73"/>
      <w:bookmarkEnd w:id="74"/>
    </w:p>
    <w:p>
      <w:pPr>
        <w:pStyle w:val="13"/>
        <w:snapToGrid w:val="0"/>
        <w:spacing w:after="156" w:line="360" w:lineRule="auto"/>
        <w:ind w:left="0" w:firstLine="0"/>
        <w:rPr>
          <w:rFonts w:ascii="宋体" w:hAnsi="宋体" w:eastAsia="宋体" w:cs="宋体"/>
          <w:b/>
          <w:bCs/>
          <w:sz w:val="21"/>
          <w:szCs w:val="21"/>
        </w:rPr>
      </w:pPr>
      <w:r>
        <w:rPr>
          <w:rFonts w:hint="eastAsia" w:ascii="宋体" w:hAnsi="宋体" w:eastAsia="宋体" w:cs="宋体"/>
          <w:b/>
          <w:bCs/>
          <w:sz w:val="21"/>
          <w:szCs w:val="21"/>
        </w:rPr>
        <w:t>1. 术语的定义</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1.1本合同下列术语应解释为：</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（1）“合同”是指委托和受托双方签署的、合同格式中载明的委托和受托双方所达成的协议，包括所有的附件、附录和构成合同的所有文件。</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（2）“合同价”是指根据合同规定，中标供应商在正确地完全履行合同义务后采购人应支付给中标供应商的货币数量。</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（3）“服务”是指政府采购合同服务清单（同磋商响应文件中开标一览表及其附表，下同）中所规定的服务内容。</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（3）“工程”是指政府采购合同工程量清单（同磋商响应文件中开标一览表及其附表，下同）和施工图纸中所规定的工程内容。</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（4）“合同条款”是指本章所述全部内容。</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（5）“合同特殊条款”是指采购文件正文部分第一章“合同特殊条款”。</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（6）“采购人”是指采购文件正文部分第一章“磋商人须知前附表”中所述购买服务的单位。</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（7）“中标供应商”是指通过采购确定的提供采购文件正文部分第八章“服务需求”/“工程量清单”中所述服务/工程的成交供应商。</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（8）“现场”是指合同规定的履行相关服务的地点。</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（9）“验收”是指委托、受托双方依据强制性的国家技术质量规范和合同规定，确认合同项下的服务符合合同规定的活动。</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（10）“天”指日历天数（如无特别说明）。</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（11）“检验”是指采购人按照合同约定的标准对中标供应商所提供的服务进行的检测与查验。</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（12）“检验合格证书”是指检验完成后由采购人和中标供应商共同签署的检验合格确认书。</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（13）“政府采购项目验收单”是指采购人根据检验合格证书签署的报同级政府采购监管部门的最终验收确认书。</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（14）“第三方”是指合同双方以外的任何中国境内、外的自然人、法人或其他经济组织。</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（15）“法律、法规”是指由中国各级政府及有关部门制定的法律、行政法规、地方性法规、规章及其他规范性文件。</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（16）“采购文件”是指由采购代理机构发布的采购文本。</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（17）“磋商响应文件”是指中标供应商按照采购代理机构发布的采购文件的要求编制、递交并最终被磋商小组接受的磋商响应文本。</w:t>
      </w:r>
    </w:p>
    <w:p>
      <w:pPr>
        <w:pStyle w:val="13"/>
        <w:snapToGrid w:val="0"/>
        <w:spacing w:after="156" w:line="360" w:lineRule="auto"/>
        <w:ind w:left="0" w:firstLine="0"/>
        <w:rPr>
          <w:rFonts w:ascii="宋体" w:hAnsi="宋体" w:eastAsia="宋体"/>
          <w:b/>
          <w:bCs/>
          <w:kern w:val="0"/>
          <w:sz w:val="21"/>
          <w:szCs w:val="21"/>
        </w:rPr>
      </w:pPr>
      <w:r>
        <w:rPr>
          <w:rFonts w:hint="eastAsia" w:ascii="宋体" w:hAnsi="宋体" w:eastAsia="宋体"/>
          <w:b/>
          <w:bCs/>
          <w:sz w:val="21"/>
          <w:szCs w:val="21"/>
        </w:rPr>
        <w:t>2.</w:t>
      </w:r>
      <w:r>
        <w:rPr>
          <w:rFonts w:hint="eastAsia" w:ascii="宋体" w:hAnsi="宋体" w:eastAsia="宋体"/>
          <w:b/>
          <w:bCs/>
          <w:kern w:val="0"/>
          <w:sz w:val="21"/>
          <w:szCs w:val="21"/>
        </w:rPr>
        <w:t>技术规范与服务内容</w:t>
      </w:r>
    </w:p>
    <w:p>
      <w:pPr>
        <w:pStyle w:val="13"/>
        <w:snapToGrid w:val="0"/>
        <w:spacing w:after="156" w:line="360" w:lineRule="auto"/>
        <w:ind w:left="0" w:firstLine="420" w:firstLineChars="200"/>
        <w:rPr>
          <w:rFonts w:ascii="宋体" w:hAnsi="宋体" w:eastAsia="宋体"/>
          <w:kern w:val="0"/>
          <w:sz w:val="21"/>
          <w:szCs w:val="21"/>
        </w:rPr>
      </w:pPr>
      <w:r>
        <w:rPr>
          <w:rFonts w:hint="eastAsia" w:ascii="宋体" w:hAnsi="宋体" w:eastAsia="宋体"/>
          <w:kern w:val="0"/>
          <w:sz w:val="21"/>
          <w:szCs w:val="21"/>
        </w:rPr>
        <w:t>2.1 投标服务的技术规范应与采购文件规定的技术规范（如果有的话）相一致。若无相应说明，则以国家有关部门最新颁布的相应标准及规范为准。</w:t>
      </w:r>
    </w:p>
    <w:p>
      <w:pPr>
        <w:snapToGrid w:val="0"/>
        <w:spacing w:after="156" w:line="360" w:lineRule="auto"/>
        <w:ind w:firstLine="420" w:firstLineChars="200"/>
        <w:jc w:val="left"/>
        <w:rPr>
          <w:rFonts w:ascii="宋体" w:hAnsi="宋体"/>
        </w:rPr>
      </w:pPr>
      <w:r>
        <w:rPr>
          <w:rFonts w:hint="eastAsia" w:ascii="宋体" w:hAnsi="宋体"/>
          <w:kern w:val="0"/>
        </w:rPr>
        <w:t>2.2 投标服务的服务内容应与采购文件规定的服务内容及磋商响应文件中的服务指标响应表一致。</w:t>
      </w:r>
    </w:p>
    <w:p>
      <w:pPr>
        <w:snapToGrid w:val="0"/>
        <w:spacing w:after="156" w:line="360" w:lineRule="auto"/>
        <w:rPr>
          <w:rFonts w:ascii="宋体" w:hAnsi="宋体"/>
          <w:b/>
          <w:bCs/>
        </w:rPr>
      </w:pPr>
      <w:r>
        <w:rPr>
          <w:rFonts w:hint="eastAsia" w:ascii="宋体" w:hAnsi="宋体"/>
          <w:b/>
          <w:bCs/>
        </w:rPr>
        <w:t>3. 知识产权</w:t>
      </w:r>
    </w:p>
    <w:p>
      <w:pPr>
        <w:snapToGrid w:val="0"/>
        <w:spacing w:after="156" w:line="360" w:lineRule="auto"/>
        <w:ind w:firstLine="420" w:firstLineChars="200"/>
        <w:rPr>
          <w:rFonts w:ascii="宋体" w:hAnsi="宋体"/>
        </w:rPr>
      </w:pPr>
      <w:r>
        <w:rPr>
          <w:rFonts w:hint="eastAsia" w:ascii="宋体" w:hAnsi="宋体"/>
        </w:rPr>
        <w:t>中标供应商</w:t>
      </w:r>
      <w:r>
        <w:rPr>
          <w:rFonts w:hint="eastAsia" w:ascii="宋体" w:hAnsi="宋体"/>
          <w:kern w:val="0"/>
        </w:rPr>
        <w:t>应保证，采购人在其接受该服务或其任何一部分时不受第三方提出的侵犯专利权、著作权、商标权和工业设计权等的起诉。如果任何第三方提出侵权指控，中标供应商须与第三方交涉并承担由此发生的一切责任、费用和经济赔偿。</w:t>
      </w:r>
    </w:p>
    <w:p>
      <w:pPr>
        <w:snapToGrid w:val="0"/>
        <w:spacing w:after="156" w:line="360" w:lineRule="auto"/>
        <w:rPr>
          <w:rFonts w:ascii="宋体" w:hAnsi="宋体"/>
          <w:b/>
          <w:bCs/>
        </w:rPr>
      </w:pPr>
      <w:r>
        <w:rPr>
          <w:rFonts w:hint="eastAsia" w:ascii="宋体" w:hAnsi="宋体"/>
          <w:b/>
          <w:bCs/>
        </w:rPr>
        <w:t>4. 完成方式</w:t>
      </w:r>
    </w:p>
    <w:p>
      <w:pPr>
        <w:snapToGrid w:val="0"/>
        <w:spacing w:after="156" w:line="360" w:lineRule="auto"/>
        <w:ind w:firstLine="411" w:firstLineChars="196"/>
        <w:rPr>
          <w:rFonts w:ascii="宋体" w:hAnsi="宋体"/>
          <w:kern w:val="0"/>
        </w:rPr>
      </w:pPr>
      <w:r>
        <w:rPr>
          <w:rFonts w:hint="eastAsia" w:ascii="宋体" w:hAnsi="宋体"/>
        </w:rPr>
        <w:t>中标供应商应按照采购文件正文部分第一章“八、服务需求”及“九、商务和技术要求”规定的时间和地点完成服务</w:t>
      </w:r>
      <w:r>
        <w:rPr>
          <w:rFonts w:hint="eastAsia" w:ascii="宋体" w:hAnsi="宋体"/>
          <w:kern w:val="0"/>
        </w:rPr>
        <w:t>。</w:t>
      </w:r>
    </w:p>
    <w:p>
      <w:pPr>
        <w:adjustRightInd w:val="0"/>
        <w:snapToGrid w:val="0"/>
        <w:spacing w:after="156" w:line="360" w:lineRule="auto"/>
        <w:rPr>
          <w:rFonts w:ascii="宋体" w:hAnsi="宋体"/>
          <w:b/>
          <w:bCs/>
        </w:rPr>
      </w:pPr>
      <w:r>
        <w:rPr>
          <w:rFonts w:hint="eastAsia" w:ascii="宋体" w:hAnsi="宋体"/>
          <w:b/>
          <w:bCs/>
        </w:rPr>
        <w:t>5. 付款</w:t>
      </w:r>
    </w:p>
    <w:p>
      <w:pPr>
        <w:snapToGrid w:val="0"/>
        <w:spacing w:after="156" w:line="360" w:lineRule="auto"/>
        <w:ind w:firstLine="480"/>
        <w:rPr>
          <w:rFonts w:ascii="宋体" w:hAnsi="宋体"/>
        </w:rPr>
      </w:pPr>
      <w:r>
        <w:rPr>
          <w:rFonts w:hint="eastAsia" w:ascii="宋体" w:hAnsi="宋体"/>
        </w:rPr>
        <w:t>5.1合同以人民币付款。</w:t>
      </w:r>
    </w:p>
    <w:p>
      <w:pPr>
        <w:snapToGrid w:val="0"/>
        <w:spacing w:after="156" w:line="360" w:lineRule="auto"/>
        <w:ind w:firstLine="480"/>
        <w:rPr>
          <w:rFonts w:ascii="宋体" w:hAnsi="宋体"/>
        </w:rPr>
      </w:pPr>
      <w:r>
        <w:rPr>
          <w:rFonts w:hint="eastAsia" w:ascii="宋体" w:hAnsi="宋体"/>
        </w:rPr>
        <w:t>5.2 在中标供应商按照合同的规定履行服务后，将按照采购文件正文部分第一章</w:t>
      </w:r>
      <w:r>
        <w:rPr>
          <w:rFonts w:hint="eastAsia" w:ascii="宋体" w:hAnsi="宋体"/>
          <w:kern w:val="0"/>
        </w:rPr>
        <w:t>“三、合同条款前附表”规定</w:t>
      </w:r>
      <w:r>
        <w:rPr>
          <w:rFonts w:hint="eastAsia" w:ascii="宋体" w:hAnsi="宋体"/>
        </w:rPr>
        <w:t>的付款方式付款。</w:t>
      </w:r>
    </w:p>
    <w:p>
      <w:pPr>
        <w:adjustRightInd w:val="0"/>
        <w:snapToGrid w:val="0"/>
        <w:spacing w:after="156" w:line="360" w:lineRule="auto"/>
        <w:rPr>
          <w:rFonts w:ascii="宋体" w:hAnsi="宋体"/>
          <w:b/>
          <w:bCs/>
        </w:rPr>
      </w:pPr>
      <w:r>
        <w:rPr>
          <w:rFonts w:hint="eastAsia" w:ascii="宋体" w:hAnsi="宋体"/>
          <w:b/>
          <w:bCs/>
        </w:rPr>
        <w:t>6. 履约保证金</w:t>
      </w:r>
    </w:p>
    <w:p>
      <w:pPr>
        <w:snapToGrid w:val="0"/>
        <w:spacing w:after="156" w:line="360" w:lineRule="auto"/>
        <w:ind w:firstLine="480"/>
        <w:rPr>
          <w:rFonts w:ascii="宋体" w:hAnsi="宋体"/>
        </w:rPr>
      </w:pPr>
      <w:r>
        <w:rPr>
          <w:rFonts w:hint="eastAsia" w:ascii="宋体" w:hAnsi="宋体"/>
        </w:rPr>
        <w:t>6.1中标供应商应在签订合同的同时，提供相当于合同总价</w:t>
      </w:r>
      <w:r>
        <w:rPr>
          <w:rFonts w:hint="eastAsia" w:ascii="宋体" w:hAnsi="宋体"/>
          <w:lang w:val="en-US" w:eastAsia="zh-CN"/>
        </w:rPr>
        <w:t>5</w:t>
      </w:r>
      <w:r>
        <w:rPr>
          <w:rFonts w:hint="eastAsia" w:ascii="宋体" w:hAnsi="宋体"/>
        </w:rPr>
        <w:t>%的履约保证金（转账或电汇）。</w:t>
      </w:r>
    </w:p>
    <w:p>
      <w:pPr>
        <w:snapToGrid w:val="0"/>
        <w:spacing w:after="156" w:line="360" w:lineRule="auto"/>
        <w:ind w:firstLine="420" w:firstLineChars="200"/>
        <w:rPr>
          <w:rFonts w:ascii="宋体" w:hAnsi="宋体"/>
        </w:rPr>
      </w:pPr>
      <w:r>
        <w:rPr>
          <w:rFonts w:hint="eastAsia" w:ascii="宋体" w:hAnsi="宋体"/>
        </w:rPr>
        <w:t xml:space="preserve"> 6.2如中标供应商未能履行其合同规定的义务，采购人有权从履约保证金中取得补偿。</w:t>
      </w:r>
    </w:p>
    <w:p>
      <w:pPr>
        <w:snapToGrid w:val="0"/>
        <w:spacing w:after="156" w:line="360" w:lineRule="auto"/>
        <w:ind w:firstLine="480"/>
        <w:rPr>
          <w:rFonts w:ascii="宋体" w:hAnsi="宋体"/>
        </w:rPr>
      </w:pPr>
      <w:r>
        <w:rPr>
          <w:rFonts w:hint="eastAsia" w:ascii="宋体" w:hAnsi="宋体"/>
        </w:rPr>
        <w:t>6.3项目服务期开始后，履约保证金转为质量保证金。</w:t>
      </w:r>
    </w:p>
    <w:p>
      <w:pPr>
        <w:snapToGrid w:val="0"/>
        <w:spacing w:after="156" w:line="360" w:lineRule="auto"/>
        <w:ind w:firstLine="480"/>
        <w:rPr>
          <w:rFonts w:ascii="宋体" w:hAnsi="宋体"/>
        </w:rPr>
      </w:pPr>
      <w:r>
        <w:rPr>
          <w:rFonts w:hint="eastAsia" w:ascii="宋体" w:hAnsi="宋体"/>
        </w:rPr>
        <w:t>6.4质量保证金在服务期满后返还。</w:t>
      </w:r>
    </w:p>
    <w:p>
      <w:pPr>
        <w:adjustRightInd w:val="0"/>
        <w:snapToGrid w:val="0"/>
        <w:spacing w:after="156" w:line="360" w:lineRule="auto"/>
        <w:rPr>
          <w:rFonts w:ascii="宋体" w:hAnsi="宋体"/>
          <w:b/>
          <w:bCs/>
        </w:rPr>
      </w:pPr>
      <w:r>
        <w:rPr>
          <w:rFonts w:hint="eastAsia" w:ascii="宋体" w:hAnsi="宋体"/>
          <w:b/>
          <w:bCs/>
        </w:rPr>
        <w:t>7. 检验和验收</w:t>
      </w:r>
    </w:p>
    <w:p>
      <w:pPr>
        <w:snapToGrid w:val="0"/>
        <w:spacing w:after="156" w:line="360" w:lineRule="auto"/>
        <w:ind w:firstLine="480"/>
        <w:rPr>
          <w:rFonts w:ascii="宋体" w:hAnsi="宋体"/>
        </w:rPr>
      </w:pPr>
      <w:r>
        <w:rPr>
          <w:rFonts w:hint="eastAsia" w:ascii="宋体" w:hAnsi="宋体"/>
        </w:rPr>
        <w:t xml:space="preserve">7.1采购人依法组织履约验收工作。采购人应当根据采购项目的具体情况,自行组织项目验收或者委托采购代理机构验收。采购人委托采购代理机构进行履约验收的,应当对验收结果进行书面确认。 </w:t>
      </w:r>
    </w:p>
    <w:p>
      <w:pPr>
        <w:snapToGrid w:val="0"/>
        <w:spacing w:after="156" w:line="360" w:lineRule="auto"/>
        <w:ind w:firstLine="480"/>
        <w:rPr>
          <w:rFonts w:ascii="宋体" w:hAnsi="宋体"/>
        </w:rPr>
      </w:pPr>
      <w:r>
        <w:rPr>
          <w:rFonts w:hint="eastAsia" w:ascii="宋体" w:hAnsi="宋体"/>
        </w:rPr>
        <w:t>7.2采购人或其委托的采购代理机构应当根据项目特点制定验收方案,明确履约验收的时间、方式、程序等内容。</w:t>
      </w:r>
    </w:p>
    <w:p>
      <w:pPr>
        <w:snapToGrid w:val="0"/>
        <w:spacing w:after="156" w:line="360" w:lineRule="auto"/>
        <w:ind w:firstLine="480"/>
        <w:rPr>
          <w:rFonts w:ascii="宋体" w:hAnsi="宋体"/>
        </w:rPr>
      </w:pPr>
      <w:r>
        <w:rPr>
          <w:rFonts w:hint="eastAsia" w:ascii="宋体" w:hAnsi="宋体"/>
        </w:rPr>
        <w:t xml:space="preserve">7.3对于采购人和使用人分离的采购项目,应当邀请实际使用人参与验收。采购人、采购代理机构可以邀请参加本项目的其他供应商或第三方专业机构及专家参与验收,相关验收意见作为验收书的参考资料。 </w:t>
      </w:r>
    </w:p>
    <w:p>
      <w:pPr>
        <w:snapToGrid w:val="0"/>
        <w:spacing w:after="156" w:line="360" w:lineRule="auto"/>
        <w:ind w:firstLine="480"/>
        <w:rPr>
          <w:rFonts w:ascii="宋体" w:hAnsi="宋体"/>
        </w:rPr>
      </w:pPr>
      <w:r>
        <w:rPr>
          <w:rFonts w:hint="eastAsia" w:ascii="宋体" w:hAnsi="宋体"/>
        </w:rPr>
        <w:t xml:space="preserve">7.4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履约验收的各项资料应当存档备查。 </w:t>
      </w:r>
    </w:p>
    <w:p>
      <w:pPr>
        <w:snapToGrid w:val="0"/>
        <w:spacing w:after="156" w:line="360" w:lineRule="auto"/>
        <w:ind w:firstLine="480"/>
        <w:rPr>
          <w:rFonts w:ascii="宋体" w:hAnsi="宋体"/>
        </w:rPr>
      </w:pPr>
      <w:r>
        <w:rPr>
          <w:rFonts w:hint="eastAsia" w:ascii="宋体" w:hAnsi="宋体"/>
        </w:rPr>
        <w:t xml:space="preserve">7.5验收合格的项目,采购人应当根据采购合同的约定及时向供应商支付采购资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 </w:t>
      </w:r>
    </w:p>
    <w:p>
      <w:pPr>
        <w:adjustRightInd w:val="0"/>
        <w:snapToGrid w:val="0"/>
        <w:spacing w:after="156" w:line="360" w:lineRule="auto"/>
        <w:rPr>
          <w:rFonts w:ascii="宋体" w:hAnsi="宋体"/>
          <w:b/>
          <w:bCs/>
        </w:rPr>
      </w:pPr>
      <w:r>
        <w:rPr>
          <w:rFonts w:hint="eastAsia" w:ascii="宋体" w:hAnsi="宋体"/>
          <w:b/>
          <w:bCs/>
        </w:rPr>
        <w:t>8. 索赔</w:t>
      </w:r>
    </w:p>
    <w:p>
      <w:pPr>
        <w:adjustRightInd w:val="0"/>
        <w:snapToGrid w:val="0"/>
        <w:spacing w:after="156" w:line="360" w:lineRule="auto"/>
        <w:ind w:firstLine="420" w:firstLineChars="200"/>
        <w:rPr>
          <w:rFonts w:ascii="宋体" w:hAnsi="宋体"/>
          <w:kern w:val="0"/>
        </w:rPr>
      </w:pPr>
      <w:r>
        <w:rPr>
          <w:rFonts w:hint="eastAsia" w:ascii="宋体" w:hAnsi="宋体"/>
          <w:kern w:val="0"/>
        </w:rPr>
        <w:t>8.1 如果服务的质量、数量等与合同不符，或在规定的质量保证期内证实服务存在缺陷（包括潜在的缺陷等），采购人有权根据有资质的质检机构的检验结果向中标供应商提出索赔。</w:t>
      </w:r>
    </w:p>
    <w:p>
      <w:pPr>
        <w:adjustRightInd w:val="0"/>
        <w:snapToGrid w:val="0"/>
        <w:spacing w:after="156" w:line="360" w:lineRule="auto"/>
        <w:ind w:firstLine="420" w:firstLineChars="200"/>
        <w:rPr>
          <w:rFonts w:ascii="宋体" w:hAnsi="宋体"/>
          <w:kern w:val="0"/>
        </w:rPr>
      </w:pPr>
      <w:r>
        <w:rPr>
          <w:rFonts w:hint="eastAsia" w:ascii="宋体" w:hAnsi="宋体"/>
          <w:kern w:val="0"/>
        </w:rPr>
        <w:t>8.2 在合同规定的验收期和质量保证期内，如果中标供应商对采购人提出的索赔负有责任，中标供应商应按照采购人同意的方式解决索赔事宜。</w:t>
      </w:r>
    </w:p>
    <w:p>
      <w:pPr>
        <w:adjustRightInd w:val="0"/>
        <w:snapToGrid w:val="0"/>
        <w:spacing w:after="156" w:line="360" w:lineRule="auto"/>
        <w:ind w:firstLine="420" w:firstLineChars="200"/>
        <w:rPr>
          <w:rFonts w:ascii="宋体" w:hAnsi="宋体"/>
          <w:kern w:val="0"/>
        </w:rPr>
      </w:pPr>
      <w:r>
        <w:rPr>
          <w:rFonts w:hint="eastAsia" w:ascii="宋体" w:hAnsi="宋体"/>
          <w:kern w:val="0"/>
        </w:rPr>
        <w:t>8.3 如果中标供应商在合同规定的索赔通知期限内，未对采购人的索赔通知做出答复，则上述索赔应视为已被中标供应商接受。如中标供应商未能在采购人提出的在合同规定的期限内或采购人同意的更长时间内，按照本合同第8.2条确定的方式解决索赔事宜，采购人将从中标供应商的履约保证金或者应支付给中标供应商的合同款项中扣回索赔金额。如果这些金额不足以补偿索赔金额，采购人有权向中标供应商提出不足部分的补偿。</w:t>
      </w:r>
    </w:p>
    <w:p>
      <w:pPr>
        <w:adjustRightInd w:val="0"/>
        <w:snapToGrid w:val="0"/>
        <w:spacing w:after="156" w:line="360" w:lineRule="auto"/>
        <w:rPr>
          <w:rFonts w:ascii="宋体" w:hAnsi="宋体"/>
          <w:b/>
          <w:bCs/>
        </w:rPr>
      </w:pPr>
      <w:r>
        <w:rPr>
          <w:rFonts w:hint="eastAsia" w:ascii="宋体" w:hAnsi="宋体"/>
          <w:b/>
          <w:bCs/>
        </w:rPr>
        <w:t>9. 中标供应商履约延误和误期赔偿</w:t>
      </w:r>
    </w:p>
    <w:p>
      <w:pPr>
        <w:snapToGrid w:val="0"/>
        <w:spacing w:after="156" w:line="360" w:lineRule="auto"/>
        <w:ind w:firstLine="420" w:firstLineChars="200"/>
        <w:rPr>
          <w:rFonts w:ascii="宋体" w:hAnsi="宋体"/>
        </w:rPr>
      </w:pPr>
      <w:r>
        <w:rPr>
          <w:rFonts w:hint="eastAsia" w:ascii="宋体" w:hAnsi="宋体"/>
        </w:rPr>
        <w:t>9.1 如中标供应商无正当理由而拖延提供服务，采购人有权提出误期赔偿或解除合同。</w:t>
      </w:r>
    </w:p>
    <w:p>
      <w:pPr>
        <w:snapToGrid w:val="0"/>
        <w:spacing w:after="156" w:line="360" w:lineRule="auto"/>
        <w:ind w:firstLine="420" w:firstLineChars="200"/>
        <w:rPr>
          <w:rFonts w:ascii="宋体" w:hAnsi="宋体"/>
        </w:rPr>
      </w:pPr>
      <w:r>
        <w:rPr>
          <w:rFonts w:hint="eastAsia" w:ascii="宋体" w:hAnsi="宋体"/>
        </w:rPr>
        <w:t>9.2 在履行合同过程中，如果中标供应商遇到妨碍按时提供服务的情况时，应及时以书面形式将拖延的事实，可能拖延的期限和理由通知采购人。采购人在收到中标供应商通知后，应尽快对情况进行评价，并确定是否通过修改合同，酌情延长提供服务时间。</w:t>
      </w:r>
    </w:p>
    <w:p>
      <w:pPr>
        <w:snapToGrid w:val="0"/>
        <w:spacing w:after="156" w:line="360" w:lineRule="auto"/>
        <w:ind w:firstLine="420" w:firstLineChars="200"/>
        <w:rPr>
          <w:rFonts w:ascii="宋体" w:hAnsi="宋体"/>
          <w:kern w:val="0"/>
        </w:rPr>
      </w:pPr>
      <w:r>
        <w:rPr>
          <w:rFonts w:hint="eastAsia" w:ascii="宋体" w:hAnsi="宋体"/>
        </w:rPr>
        <w:t xml:space="preserve">9.3 </w:t>
      </w:r>
      <w:r>
        <w:rPr>
          <w:rFonts w:hint="eastAsia" w:ascii="宋体" w:hAnsi="宋体"/>
          <w:kern w:val="0"/>
        </w:rPr>
        <w:t>除本合同条款第10条规定外，如果中标供应商没有按照合同规定的时间提供服务，采购人可要求中标供应商支付违约金。违约金按每周未提供服务费用的0.5%计收，但违约金的最高限额为未提供服务的合同价格的5%。一周按7天计算，不足7天按一周计算。如果达到最高限额，采购人有权解除政府采购合同。</w:t>
      </w:r>
    </w:p>
    <w:p>
      <w:pPr>
        <w:snapToGrid w:val="0"/>
        <w:spacing w:after="156" w:line="360" w:lineRule="auto"/>
        <w:rPr>
          <w:rFonts w:ascii="宋体" w:hAnsi="宋体"/>
          <w:b/>
          <w:bCs/>
        </w:rPr>
      </w:pPr>
      <w:r>
        <w:rPr>
          <w:rFonts w:hint="eastAsia" w:ascii="宋体" w:hAnsi="宋体"/>
          <w:b/>
          <w:bCs/>
        </w:rPr>
        <w:t>10. 不可抗力</w:t>
      </w:r>
    </w:p>
    <w:p>
      <w:pPr>
        <w:snapToGrid w:val="0"/>
        <w:spacing w:after="156" w:line="360" w:lineRule="auto"/>
        <w:ind w:firstLine="420" w:firstLineChars="200"/>
        <w:rPr>
          <w:rFonts w:ascii="宋体" w:hAnsi="宋体"/>
          <w:kern w:val="0"/>
        </w:rPr>
      </w:pPr>
      <w:r>
        <w:rPr>
          <w:rFonts w:hint="eastAsia" w:ascii="宋体" w:hAnsi="宋体"/>
          <w:kern w:val="0"/>
        </w:rPr>
        <w:t>10.1 尽管有本合同条款第8条和第9条的规定，如果中标供应商因不可抗力而导致合同实施延误或不能履行合同义务的话，在不可抗力影响的范围内中标供应商的履约保证金或者应支付给中标供应商的合同款项不能被没收，也不应该承担违约赔偿或终止合同的责任。</w:t>
      </w:r>
    </w:p>
    <w:p>
      <w:pPr>
        <w:adjustRightInd w:val="0"/>
        <w:snapToGrid w:val="0"/>
        <w:spacing w:after="156" w:line="360" w:lineRule="auto"/>
        <w:ind w:firstLine="420" w:firstLineChars="200"/>
        <w:rPr>
          <w:rFonts w:ascii="宋体" w:hAnsi="宋体"/>
          <w:kern w:val="0"/>
        </w:rPr>
      </w:pPr>
      <w:r>
        <w:rPr>
          <w:rFonts w:hint="eastAsia" w:ascii="宋体" w:hAnsi="宋体"/>
          <w:kern w:val="0"/>
        </w:rPr>
        <w:t>10.2 本条所述的“不可抗力”是指那些中标供应商无法控制、不可预见的事件，但不包括中标供应商的违约或疏忽。不可抗力事件包括，但不限于：战争、严重火灾、洪水、台风、地震、防疫限制和禁运及其他双方</w:t>
      </w:r>
      <w:r>
        <w:rPr>
          <w:rFonts w:hint="eastAsia" w:ascii="宋体" w:hAnsi="宋体"/>
        </w:rPr>
        <w:t>商定的事件。</w:t>
      </w:r>
    </w:p>
    <w:p>
      <w:pPr>
        <w:adjustRightInd w:val="0"/>
        <w:snapToGrid w:val="0"/>
        <w:spacing w:after="156" w:line="360" w:lineRule="auto"/>
        <w:ind w:firstLine="420" w:firstLineChars="200"/>
        <w:rPr>
          <w:rFonts w:ascii="宋体" w:hAnsi="宋体"/>
          <w:kern w:val="0"/>
        </w:rPr>
      </w:pPr>
      <w:r>
        <w:rPr>
          <w:rFonts w:hint="eastAsia" w:ascii="宋体" w:hAnsi="宋体"/>
          <w:kern w:val="0"/>
        </w:rPr>
        <w:t>10.3 在不可抗力事件发生后，中标供应商应尽快以书面形式将不可抗力的情况和原因通知采购人。除采购人书面另行要求外，中标供应商应尽可能继续履行合同义务，以及寻求采取合理的方案履行不受不可抗力影响的其他事项。如果不可抗力事件影响延续超过120天，双方应通过友好协商在合理的时间内就进一步实施合同达成协议。</w:t>
      </w:r>
    </w:p>
    <w:p>
      <w:pPr>
        <w:adjustRightInd w:val="0"/>
        <w:snapToGrid w:val="0"/>
        <w:spacing w:after="156" w:line="360" w:lineRule="auto"/>
        <w:ind w:firstLine="420" w:firstLineChars="200"/>
        <w:rPr>
          <w:rFonts w:ascii="宋体" w:hAnsi="宋体"/>
          <w:b/>
          <w:bCs/>
          <w:kern w:val="0"/>
        </w:rPr>
      </w:pPr>
      <w:r>
        <w:rPr>
          <w:rFonts w:hint="eastAsia" w:ascii="宋体" w:hAnsi="宋体"/>
          <w:kern w:val="0"/>
        </w:rPr>
        <w:t>10.4 不可抗力使合同的某些内容有变更必要的，双方应通过协商达成进一步履行合同的协议，因不可抗力致使合同不能履行的，合同终止。</w:t>
      </w:r>
    </w:p>
    <w:p>
      <w:pPr>
        <w:snapToGrid w:val="0"/>
        <w:spacing w:after="50" w:line="360" w:lineRule="auto"/>
        <w:rPr>
          <w:rFonts w:ascii="宋体" w:hAnsi="宋体"/>
          <w:b/>
          <w:bCs/>
        </w:rPr>
      </w:pPr>
      <w:r>
        <w:rPr>
          <w:rFonts w:hint="eastAsia" w:ascii="宋体" w:hAnsi="宋体"/>
          <w:b/>
          <w:bCs/>
        </w:rPr>
        <w:t>11. 税费</w:t>
      </w:r>
    </w:p>
    <w:p>
      <w:pPr>
        <w:adjustRightInd w:val="0"/>
        <w:snapToGrid w:val="0"/>
        <w:spacing w:after="156" w:line="360" w:lineRule="auto"/>
        <w:ind w:firstLine="420" w:firstLineChars="200"/>
        <w:rPr>
          <w:rFonts w:ascii="宋体" w:hAnsi="宋体"/>
          <w:kern w:val="0"/>
        </w:rPr>
      </w:pPr>
      <w:r>
        <w:rPr>
          <w:rFonts w:hint="eastAsia" w:ascii="宋体" w:hAnsi="宋体"/>
          <w:kern w:val="0"/>
        </w:rPr>
        <w:t>11.1中国政府根据现行税法对采购人征收的、与本合同有关的一切税费，均由采购人负担。</w:t>
      </w:r>
    </w:p>
    <w:p>
      <w:pPr>
        <w:adjustRightInd w:val="0"/>
        <w:snapToGrid w:val="0"/>
        <w:spacing w:after="156" w:line="360" w:lineRule="auto"/>
        <w:ind w:firstLine="420" w:firstLineChars="200"/>
        <w:rPr>
          <w:rFonts w:ascii="宋体" w:hAnsi="宋体"/>
          <w:kern w:val="0"/>
        </w:rPr>
      </w:pPr>
      <w:r>
        <w:rPr>
          <w:rFonts w:hint="eastAsia" w:ascii="宋体" w:hAnsi="宋体"/>
          <w:kern w:val="0"/>
        </w:rPr>
        <w:t>11.2中国政府根据现行税法对中标供应商征收的、与本合同有关的一切税费，均由中标供应商负担。</w:t>
      </w:r>
    </w:p>
    <w:p>
      <w:pPr>
        <w:snapToGrid w:val="0"/>
        <w:spacing w:after="50" w:line="360" w:lineRule="auto"/>
        <w:rPr>
          <w:rFonts w:ascii="宋体" w:hAnsi="宋体"/>
          <w:b/>
          <w:bCs/>
        </w:rPr>
      </w:pPr>
      <w:r>
        <w:rPr>
          <w:rFonts w:hint="eastAsia" w:ascii="宋体" w:hAnsi="宋体"/>
          <w:b/>
          <w:bCs/>
        </w:rPr>
        <w:t>12. 仲裁</w:t>
      </w:r>
    </w:p>
    <w:p>
      <w:pPr>
        <w:adjustRightInd w:val="0"/>
        <w:snapToGrid w:val="0"/>
        <w:spacing w:after="156" w:line="360" w:lineRule="auto"/>
        <w:ind w:firstLine="420" w:firstLineChars="200"/>
        <w:rPr>
          <w:rFonts w:ascii="宋体" w:hAnsi="宋体"/>
          <w:kern w:val="0"/>
        </w:rPr>
      </w:pPr>
      <w:r>
        <w:rPr>
          <w:rFonts w:hint="eastAsia" w:ascii="宋体" w:hAnsi="宋体"/>
          <w:kern w:val="0"/>
        </w:rPr>
        <w:t>12.1在执行本合同中所发生的或与本合同有关的一切争端，买卖双方应通过友好协商的办法进行解决。如从协商开始60天内仍不能解决，双方应将争端提交有关省、市政府或行业主管部门寻求可能解决的办法。如果提交有关省、市政府或行业主管部门仍得不到解决，</w:t>
      </w:r>
      <w:r>
        <w:rPr>
          <w:rFonts w:hint="eastAsia" w:ascii="宋体" w:hAnsi="宋体"/>
        </w:rPr>
        <w:t>则应向</w:t>
      </w:r>
      <w:r>
        <w:rPr>
          <w:rFonts w:hint="eastAsia" w:ascii="宋体" w:hAnsi="宋体"/>
          <w:u w:val="single"/>
        </w:rPr>
        <w:t xml:space="preserve"> 宿州 </w:t>
      </w:r>
      <w:r>
        <w:rPr>
          <w:rFonts w:hint="eastAsia" w:ascii="宋体" w:hAnsi="宋体"/>
        </w:rPr>
        <w:t>仲裁委员会申请仲裁。</w:t>
      </w:r>
    </w:p>
    <w:p>
      <w:pPr>
        <w:adjustRightInd w:val="0"/>
        <w:snapToGrid w:val="0"/>
        <w:spacing w:after="156" w:line="360" w:lineRule="auto"/>
        <w:ind w:firstLine="420" w:firstLineChars="200"/>
        <w:rPr>
          <w:rFonts w:ascii="宋体" w:hAnsi="宋体"/>
          <w:kern w:val="0"/>
        </w:rPr>
      </w:pPr>
      <w:r>
        <w:rPr>
          <w:rFonts w:hint="eastAsia" w:ascii="宋体" w:hAnsi="宋体"/>
          <w:kern w:val="0"/>
        </w:rPr>
        <w:t>12.2在仲裁期间，合同应继续履行。</w:t>
      </w:r>
    </w:p>
    <w:p>
      <w:pPr>
        <w:adjustRightInd w:val="0"/>
        <w:snapToGrid w:val="0"/>
        <w:spacing w:after="156" w:line="360" w:lineRule="auto"/>
        <w:rPr>
          <w:rFonts w:ascii="宋体" w:hAnsi="宋体"/>
          <w:b/>
          <w:bCs/>
        </w:rPr>
      </w:pPr>
      <w:r>
        <w:rPr>
          <w:rFonts w:hint="eastAsia" w:ascii="宋体" w:hAnsi="宋体"/>
          <w:b/>
          <w:bCs/>
        </w:rPr>
        <w:t>13. 违约终止合同</w:t>
      </w:r>
    </w:p>
    <w:p>
      <w:pPr>
        <w:adjustRightInd w:val="0"/>
        <w:snapToGrid w:val="0"/>
        <w:spacing w:after="156" w:line="360" w:lineRule="auto"/>
        <w:ind w:firstLine="420" w:firstLineChars="200"/>
        <w:rPr>
          <w:rFonts w:ascii="宋体" w:hAnsi="宋体"/>
          <w:kern w:val="0"/>
        </w:rPr>
      </w:pPr>
      <w:r>
        <w:rPr>
          <w:rFonts w:hint="eastAsia" w:ascii="宋体" w:hAnsi="宋体"/>
          <w:kern w:val="0"/>
        </w:rPr>
        <w:t>13.1在采购人对中标供应商违约而采取的任何补救措施不受影响的情况下，采购人可向中标供应商发出终止部分或全部合同的书面通知书。</w:t>
      </w:r>
    </w:p>
    <w:p>
      <w:pPr>
        <w:adjustRightInd w:val="0"/>
        <w:snapToGrid w:val="0"/>
        <w:spacing w:after="156" w:line="360" w:lineRule="auto"/>
        <w:ind w:firstLine="420" w:firstLineChars="200"/>
        <w:rPr>
          <w:rFonts w:ascii="宋体" w:hAnsi="宋体"/>
          <w:kern w:val="0"/>
        </w:rPr>
      </w:pPr>
      <w:r>
        <w:rPr>
          <w:rFonts w:hint="eastAsia" w:ascii="宋体" w:hAnsi="宋体"/>
          <w:kern w:val="0"/>
        </w:rPr>
        <w:t>（1）如果中标供应商未能按合同规定的期限或采购人同意延长的限期内提供部分或全部服务;</w:t>
      </w:r>
    </w:p>
    <w:p>
      <w:pPr>
        <w:adjustRightInd w:val="0"/>
        <w:snapToGrid w:val="0"/>
        <w:spacing w:after="156" w:line="360" w:lineRule="auto"/>
        <w:ind w:firstLine="420" w:firstLineChars="200"/>
        <w:rPr>
          <w:rFonts w:ascii="宋体" w:hAnsi="宋体"/>
          <w:kern w:val="0"/>
        </w:rPr>
      </w:pPr>
      <w:r>
        <w:rPr>
          <w:rFonts w:hint="eastAsia" w:ascii="宋体" w:hAnsi="宋体"/>
          <w:kern w:val="0"/>
        </w:rPr>
        <w:t>（2）中标供应商在收到采购人发出的违约通知后20天内，或经采购人书面认可延长的时间内未能纠正其过失;</w:t>
      </w:r>
    </w:p>
    <w:p>
      <w:pPr>
        <w:adjustRightInd w:val="0"/>
        <w:snapToGrid w:val="0"/>
        <w:spacing w:after="156" w:line="360" w:lineRule="auto"/>
        <w:ind w:firstLine="420" w:firstLineChars="200"/>
        <w:rPr>
          <w:rFonts w:ascii="宋体" w:hAnsi="宋体"/>
          <w:kern w:val="0"/>
        </w:rPr>
      </w:pPr>
      <w:r>
        <w:rPr>
          <w:rFonts w:hint="eastAsia" w:ascii="宋体" w:hAnsi="宋体"/>
          <w:kern w:val="0"/>
        </w:rPr>
        <w:t>（3）如果中标供应商未能履行合同规定的其他义务。</w:t>
      </w:r>
    </w:p>
    <w:p>
      <w:pPr>
        <w:adjustRightInd w:val="0"/>
        <w:snapToGrid w:val="0"/>
        <w:spacing w:after="156" w:line="360" w:lineRule="auto"/>
        <w:ind w:firstLine="420" w:firstLineChars="200"/>
        <w:rPr>
          <w:rFonts w:ascii="宋体" w:hAnsi="宋体"/>
          <w:kern w:val="0"/>
        </w:rPr>
      </w:pPr>
      <w:r>
        <w:rPr>
          <w:rFonts w:hint="eastAsia" w:ascii="宋体" w:hAnsi="宋体"/>
          <w:kern w:val="0"/>
        </w:rPr>
        <w:t>13.2在采购人根据上述第13.1条规定，终止了全部或部分合同后，采购人可以依其认为适当的条件和方法购买类似未交的服务，中标供应商应对采购人购买类似服务所超出的费用部分负责，并继续执行合同中未终止部分。</w:t>
      </w:r>
    </w:p>
    <w:p>
      <w:pPr>
        <w:adjustRightInd w:val="0"/>
        <w:snapToGrid w:val="0"/>
        <w:spacing w:after="156" w:line="360" w:lineRule="auto"/>
        <w:rPr>
          <w:rFonts w:ascii="宋体" w:hAnsi="宋体"/>
          <w:b/>
          <w:bCs/>
        </w:rPr>
      </w:pPr>
      <w:r>
        <w:rPr>
          <w:rFonts w:hint="eastAsia" w:ascii="宋体" w:hAnsi="宋体"/>
          <w:b/>
          <w:bCs/>
        </w:rPr>
        <w:t>14. 破产终止合同</w:t>
      </w:r>
    </w:p>
    <w:p>
      <w:pPr>
        <w:adjustRightInd w:val="0"/>
        <w:snapToGrid w:val="0"/>
        <w:spacing w:after="156" w:line="360" w:lineRule="auto"/>
        <w:ind w:firstLine="420" w:firstLineChars="200"/>
        <w:rPr>
          <w:rFonts w:ascii="宋体" w:hAnsi="宋体"/>
          <w:kern w:val="0"/>
        </w:rPr>
      </w:pPr>
      <w:r>
        <w:rPr>
          <w:rFonts w:hint="eastAsia" w:ascii="宋体" w:hAnsi="宋体"/>
          <w:kern w:val="0"/>
        </w:rPr>
        <w:t>如果中标供应商破产或无清偿能力时，采购人经报同级政府采购监督管理部门审批后，可在任何时候以书面形式通知中标供应商，提出终止合同而不给中标供应商补偿。该合同的终止将不损害或影响采购人已经采取或将要采取的任何行动或补救措施的权利。</w:t>
      </w:r>
    </w:p>
    <w:p>
      <w:pPr>
        <w:adjustRightInd w:val="0"/>
        <w:snapToGrid w:val="0"/>
        <w:spacing w:after="156" w:line="360" w:lineRule="auto"/>
        <w:rPr>
          <w:rFonts w:ascii="宋体" w:hAnsi="宋体"/>
          <w:b/>
          <w:bCs/>
        </w:rPr>
      </w:pPr>
      <w:r>
        <w:rPr>
          <w:rFonts w:hint="eastAsia" w:ascii="宋体" w:hAnsi="宋体"/>
          <w:b/>
          <w:bCs/>
        </w:rPr>
        <w:t>15. 转让和分包</w:t>
      </w:r>
    </w:p>
    <w:p>
      <w:pPr>
        <w:adjustRightInd w:val="0"/>
        <w:snapToGrid w:val="0"/>
        <w:spacing w:after="156" w:line="360" w:lineRule="auto"/>
        <w:ind w:firstLine="420" w:firstLineChars="200"/>
        <w:rPr>
          <w:rFonts w:ascii="宋体" w:hAnsi="宋体"/>
          <w:kern w:val="0"/>
        </w:rPr>
      </w:pPr>
      <w:r>
        <w:rPr>
          <w:rFonts w:hint="eastAsia" w:ascii="宋体" w:hAnsi="宋体"/>
          <w:kern w:val="0"/>
        </w:rPr>
        <w:t>15.1合同不能擅自转让或分包。</w:t>
      </w:r>
    </w:p>
    <w:p>
      <w:pPr>
        <w:adjustRightInd w:val="0"/>
        <w:snapToGrid w:val="0"/>
        <w:spacing w:after="156" w:line="360" w:lineRule="auto"/>
        <w:ind w:firstLine="420" w:firstLineChars="200"/>
        <w:rPr>
          <w:rFonts w:ascii="宋体" w:hAnsi="宋体"/>
          <w:kern w:val="0"/>
        </w:rPr>
      </w:pPr>
      <w:r>
        <w:rPr>
          <w:rFonts w:hint="eastAsia" w:ascii="宋体" w:hAnsi="宋体"/>
          <w:kern w:val="0"/>
        </w:rPr>
        <w:t>15.2 经采购人和同级政府采购监督管理部门事先书面同意，中标供应商可以将合同项下非主体、非关键性工作分包给他人完成。接受分包的人应当具备相应的资格条件，并不得再次分包。分包后不能终止中标供应商履行合同的责任和义务，接受分包的人与中标供应商共同对采购人连带承担合同的责任和义务。</w:t>
      </w:r>
    </w:p>
    <w:p>
      <w:pPr>
        <w:adjustRightInd w:val="0"/>
        <w:snapToGrid w:val="0"/>
        <w:spacing w:after="156" w:line="360" w:lineRule="auto"/>
        <w:rPr>
          <w:rFonts w:ascii="宋体" w:hAnsi="宋体"/>
          <w:b/>
          <w:bCs/>
        </w:rPr>
      </w:pPr>
      <w:r>
        <w:rPr>
          <w:rFonts w:hint="eastAsia" w:ascii="宋体" w:hAnsi="宋体"/>
          <w:b/>
          <w:bCs/>
        </w:rPr>
        <w:t>16. 合同修改</w:t>
      </w:r>
    </w:p>
    <w:p>
      <w:pPr>
        <w:adjustRightInd w:val="0"/>
        <w:snapToGrid w:val="0"/>
        <w:spacing w:after="156" w:line="360" w:lineRule="auto"/>
        <w:ind w:firstLine="420" w:firstLineChars="200"/>
        <w:rPr>
          <w:rFonts w:ascii="宋体" w:hAnsi="宋体"/>
          <w:kern w:val="0"/>
        </w:rPr>
      </w:pPr>
      <w:r>
        <w:rPr>
          <w:rFonts w:hint="eastAsia" w:ascii="宋体" w:hAnsi="宋体"/>
          <w:kern w:val="0"/>
        </w:rPr>
        <w:t>采购人和中标供应商都不得擅自变更合同，但继续履行将损害国家和社会公共利益的除外。如必须对合同条款进行修改时，当事人双方须共同签署书面文件，作为合同的补充，并报同级政府采购监督管理部门备案。</w:t>
      </w:r>
    </w:p>
    <w:p>
      <w:pPr>
        <w:adjustRightInd w:val="0"/>
        <w:snapToGrid w:val="0"/>
        <w:spacing w:after="156" w:line="360" w:lineRule="auto"/>
        <w:rPr>
          <w:rFonts w:ascii="宋体" w:hAnsi="宋体"/>
          <w:b/>
          <w:bCs/>
        </w:rPr>
      </w:pPr>
      <w:r>
        <w:rPr>
          <w:rFonts w:hint="eastAsia" w:ascii="宋体" w:hAnsi="宋体"/>
          <w:b/>
          <w:bCs/>
        </w:rPr>
        <w:t>17. 通知</w:t>
      </w:r>
    </w:p>
    <w:p>
      <w:pPr>
        <w:adjustRightInd w:val="0"/>
        <w:snapToGrid w:val="0"/>
        <w:spacing w:after="156" w:line="360" w:lineRule="auto"/>
        <w:ind w:firstLine="420" w:firstLineChars="200"/>
        <w:rPr>
          <w:rFonts w:ascii="宋体" w:hAnsi="宋体"/>
          <w:kern w:val="0"/>
        </w:rPr>
      </w:pPr>
      <w:r>
        <w:rPr>
          <w:rFonts w:hint="eastAsia" w:ascii="宋体" w:hAnsi="宋体"/>
          <w:kern w:val="0"/>
        </w:rPr>
        <w:t>政府采购合同一方给另一方的通知都应以书面形式发送至规定的对方地址。通知以送达日期或通知书规定的生效日期为生效日期，两者中以晚的一个日期为准。</w:t>
      </w:r>
    </w:p>
    <w:p>
      <w:pPr>
        <w:snapToGrid w:val="0"/>
        <w:spacing w:after="156" w:line="360" w:lineRule="auto"/>
        <w:rPr>
          <w:rFonts w:ascii="宋体" w:hAnsi="宋体"/>
          <w:b/>
          <w:bCs/>
        </w:rPr>
      </w:pPr>
      <w:r>
        <w:rPr>
          <w:rFonts w:hint="eastAsia" w:ascii="宋体" w:hAnsi="宋体"/>
          <w:b/>
          <w:bCs/>
        </w:rPr>
        <w:t>18.合同生效</w:t>
      </w:r>
    </w:p>
    <w:p>
      <w:pPr>
        <w:snapToGrid w:val="0"/>
        <w:spacing w:line="360" w:lineRule="auto"/>
        <w:ind w:firstLine="420" w:firstLineChars="200"/>
        <w:rPr>
          <w:rFonts w:ascii="宋体" w:hAnsi="宋体"/>
          <w:kern w:val="0"/>
        </w:rPr>
      </w:pPr>
      <w:r>
        <w:rPr>
          <w:rFonts w:hint="eastAsia" w:ascii="宋体" w:hAnsi="宋体"/>
          <w:kern w:val="0"/>
        </w:rPr>
        <w:t>18.1合同内容的确定应以采购文件和磋商响应文件为基础，不得违背其实质性内容。合同应在买卖双方签字、盖章，并在中标供应商交纳履约保证金后即开始生效。</w:t>
      </w:r>
    </w:p>
    <w:p>
      <w:pPr>
        <w:snapToGrid w:val="0"/>
        <w:spacing w:line="360" w:lineRule="auto"/>
        <w:ind w:firstLine="420" w:firstLineChars="200"/>
        <w:rPr>
          <w:rFonts w:ascii="宋体" w:hAnsi="宋体"/>
          <w:kern w:val="0"/>
        </w:rPr>
      </w:pPr>
      <w:r>
        <w:rPr>
          <w:rFonts w:hint="eastAsia" w:ascii="宋体" w:hAnsi="宋体"/>
          <w:kern w:val="0"/>
        </w:rPr>
        <w:t>18.2本合同一式四份，以中文书就，采购人、中标供应商、采购代理机构各执一份。</w:t>
      </w:r>
    </w:p>
    <w:p>
      <w:pPr>
        <w:adjustRightInd w:val="0"/>
        <w:snapToGrid w:val="0"/>
        <w:spacing w:after="156" w:line="360" w:lineRule="auto"/>
        <w:rPr>
          <w:rFonts w:ascii="宋体" w:hAnsi="宋体"/>
          <w:b/>
          <w:bCs/>
        </w:rPr>
      </w:pPr>
      <w:r>
        <w:rPr>
          <w:rFonts w:hint="eastAsia" w:ascii="宋体" w:hAnsi="宋体"/>
          <w:b/>
          <w:bCs/>
        </w:rPr>
        <w:t>19. 补充条款</w:t>
      </w:r>
    </w:p>
    <w:p>
      <w:pPr>
        <w:snapToGrid w:val="0"/>
        <w:spacing w:after="50" w:line="360" w:lineRule="auto"/>
        <w:ind w:firstLine="411" w:firstLineChars="196"/>
        <w:rPr>
          <w:rFonts w:ascii="宋体" w:hAnsi="宋体"/>
          <w:kern w:val="0"/>
        </w:rPr>
      </w:pPr>
      <w:r>
        <w:rPr>
          <w:rFonts w:hint="eastAsia" w:ascii="宋体" w:hAnsi="宋体"/>
          <w:kern w:val="0"/>
        </w:rPr>
        <w:t>如需修改或补充合同内容，经协商，双方可签署书面修改或补充协议，该协议将作为合同的一个组成部分。</w:t>
      </w:r>
    </w:p>
    <w:p>
      <w:pPr>
        <w:pStyle w:val="6"/>
      </w:pPr>
      <w:bookmarkStart w:id="75" w:name="_Toc23556"/>
      <w:bookmarkStart w:id="76" w:name="_Toc84"/>
      <w:r>
        <w:rPr>
          <w:rFonts w:hint="eastAsia"/>
        </w:rPr>
        <w:t>三、合同格式</w:t>
      </w:r>
      <w:bookmarkEnd w:id="75"/>
      <w:bookmarkEnd w:id="76"/>
    </w:p>
    <w:p>
      <w:pPr>
        <w:spacing w:line="360" w:lineRule="auto"/>
        <w:rPr>
          <w:rFonts w:ascii="宋体" w:hAnsi="宋体"/>
        </w:rPr>
      </w:pPr>
      <w:r>
        <w:rPr>
          <w:rFonts w:hint="eastAsia" w:ascii="宋体" w:hAnsi="宋体"/>
        </w:rPr>
        <w:t xml:space="preserve">采  购  人（甲方）： </w:t>
      </w:r>
      <w:r>
        <w:rPr>
          <w:rFonts w:hint="eastAsia" w:ascii="宋体" w:hAnsi="宋体"/>
          <w:u w:val="single"/>
        </w:rPr>
        <w:t xml:space="preserve">                                        </w:t>
      </w:r>
      <w:r>
        <w:rPr>
          <w:rFonts w:hint="eastAsia" w:ascii="宋体" w:hAnsi="宋体"/>
        </w:rPr>
        <w:t xml:space="preserve"> </w:t>
      </w:r>
    </w:p>
    <w:p>
      <w:pPr>
        <w:spacing w:line="360" w:lineRule="auto"/>
        <w:ind w:left="840" w:hanging="840" w:hangingChars="400"/>
        <w:rPr>
          <w:rFonts w:ascii="宋体" w:hAnsi="宋体"/>
        </w:rPr>
      </w:pPr>
      <w:r>
        <w:rPr>
          <w:rFonts w:hint="eastAsia" w:ascii="宋体" w:hAnsi="宋体"/>
        </w:rPr>
        <w:t xml:space="preserve">中标供应商（乙方）： </w:t>
      </w:r>
      <w:r>
        <w:rPr>
          <w:rFonts w:hint="eastAsia" w:ascii="宋体" w:hAnsi="宋体"/>
          <w:u w:val="single"/>
        </w:rPr>
        <w:t xml:space="preserve">                                        </w:t>
      </w:r>
      <w:r>
        <w:rPr>
          <w:rFonts w:hint="eastAsia" w:ascii="宋体" w:hAnsi="宋体"/>
        </w:rPr>
        <w:t xml:space="preserve"> </w:t>
      </w:r>
    </w:p>
    <w:p>
      <w:pPr>
        <w:spacing w:line="360" w:lineRule="auto"/>
        <w:ind w:left="840" w:hanging="840" w:hangingChars="400"/>
        <w:rPr>
          <w:rFonts w:ascii="宋体" w:hAnsi="宋体"/>
          <w:u w:val="single"/>
        </w:rPr>
      </w:pPr>
      <w:r>
        <w:rPr>
          <w:rFonts w:hint="eastAsia" w:ascii="宋体" w:hAnsi="宋体"/>
        </w:rPr>
        <w:t>采购代理机构：</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甲方通过</w:t>
      </w:r>
      <w:r>
        <w:rPr>
          <w:rFonts w:hint="eastAsia" w:ascii="宋体" w:hAnsi="宋体"/>
          <w:u w:val="single"/>
        </w:rPr>
        <w:t xml:space="preserve">         </w:t>
      </w:r>
      <w:r>
        <w:rPr>
          <w:rFonts w:hint="eastAsia" w:ascii="宋体" w:hAnsi="宋体"/>
        </w:rPr>
        <w:t>组织的采购活动，决定将本项目采购合同授予乙方。为进一步明确双方的责任，确保合同的顺利履行，甲乙双方商定同意按如下条款和条件签订本合同：</w:t>
      </w:r>
    </w:p>
    <w:p>
      <w:pPr>
        <w:spacing w:line="360" w:lineRule="auto"/>
        <w:ind w:firstLine="422" w:firstLineChars="200"/>
        <w:rPr>
          <w:rFonts w:ascii="宋体" w:hAnsi="宋体"/>
          <w:b/>
          <w:bCs/>
        </w:rPr>
      </w:pPr>
      <w:r>
        <w:rPr>
          <w:rFonts w:hint="eastAsia" w:ascii="宋体" w:hAnsi="宋体"/>
          <w:b/>
          <w:bCs/>
        </w:rPr>
        <w:t>1.合同文件</w:t>
      </w:r>
    </w:p>
    <w:p>
      <w:pPr>
        <w:spacing w:line="360" w:lineRule="auto"/>
        <w:ind w:left="643"/>
        <w:rPr>
          <w:rFonts w:ascii="宋体" w:hAnsi="宋体"/>
        </w:rPr>
      </w:pPr>
      <w:r>
        <w:rPr>
          <w:rFonts w:hint="eastAsia" w:ascii="宋体" w:hAnsi="宋体"/>
        </w:rPr>
        <w:t>下列文件是构成本合同不可分割的部分：</w:t>
      </w:r>
    </w:p>
    <w:p>
      <w:pPr>
        <w:spacing w:line="360" w:lineRule="auto"/>
        <w:ind w:left="643"/>
        <w:rPr>
          <w:rFonts w:ascii="宋体" w:hAnsi="宋体"/>
        </w:rPr>
      </w:pPr>
      <w:r>
        <w:rPr>
          <w:rFonts w:hint="eastAsia" w:ascii="宋体" w:hAnsi="宋体"/>
        </w:rPr>
        <w:t>（1）合同条款及前附表；</w:t>
      </w:r>
    </w:p>
    <w:p>
      <w:pPr>
        <w:spacing w:line="360" w:lineRule="auto"/>
        <w:ind w:firstLine="420" w:firstLineChars="200"/>
        <w:rPr>
          <w:rFonts w:ascii="宋体" w:hAnsi="宋体"/>
        </w:rPr>
      </w:pPr>
      <w:r>
        <w:rPr>
          <w:rFonts w:hint="eastAsia" w:ascii="宋体" w:hAnsi="宋体"/>
        </w:rPr>
        <w:t>（2）中标供应商提交的磋商响应文件和投标报价表；</w:t>
      </w:r>
    </w:p>
    <w:p>
      <w:pPr>
        <w:spacing w:line="360" w:lineRule="auto"/>
        <w:ind w:firstLine="420" w:firstLineChars="200"/>
        <w:rPr>
          <w:rFonts w:ascii="宋体" w:hAnsi="宋体"/>
        </w:rPr>
      </w:pPr>
      <w:r>
        <w:rPr>
          <w:rFonts w:hint="eastAsia" w:ascii="宋体" w:hAnsi="宋体"/>
        </w:rPr>
        <w:t>（3）中标通知书。</w:t>
      </w:r>
    </w:p>
    <w:p>
      <w:pPr>
        <w:spacing w:line="360" w:lineRule="auto"/>
        <w:ind w:firstLine="422" w:firstLineChars="200"/>
        <w:rPr>
          <w:rFonts w:ascii="宋体" w:hAnsi="宋体"/>
          <w:b/>
          <w:bCs/>
        </w:rPr>
      </w:pPr>
      <w:r>
        <w:rPr>
          <w:rFonts w:hint="eastAsia" w:ascii="宋体" w:hAnsi="宋体"/>
          <w:b/>
          <w:bCs/>
        </w:rPr>
        <w:t>2.合同范围和条件</w:t>
      </w:r>
    </w:p>
    <w:p>
      <w:pPr>
        <w:spacing w:line="360" w:lineRule="auto"/>
        <w:ind w:firstLine="420" w:firstLineChars="200"/>
        <w:rPr>
          <w:rFonts w:ascii="宋体" w:hAnsi="宋体"/>
        </w:rPr>
      </w:pPr>
      <w:r>
        <w:rPr>
          <w:rFonts w:hint="eastAsia" w:ascii="宋体" w:hAnsi="宋体"/>
        </w:rPr>
        <w:t>本合同的范围和条件应与上述合同文件的规定相一致。</w:t>
      </w:r>
    </w:p>
    <w:p>
      <w:pPr>
        <w:spacing w:line="360" w:lineRule="auto"/>
        <w:ind w:firstLine="422" w:firstLineChars="200"/>
        <w:rPr>
          <w:rFonts w:ascii="宋体" w:hAnsi="宋体"/>
          <w:b/>
          <w:bCs/>
        </w:rPr>
      </w:pPr>
      <w:r>
        <w:rPr>
          <w:rFonts w:hint="eastAsia" w:ascii="宋体" w:hAnsi="宋体"/>
          <w:b/>
          <w:bCs/>
        </w:rPr>
        <w:t>3.合同金额</w:t>
      </w:r>
    </w:p>
    <w:p>
      <w:pPr>
        <w:spacing w:line="360" w:lineRule="auto"/>
        <w:ind w:firstLine="420" w:firstLineChars="200"/>
        <w:rPr>
          <w:rFonts w:ascii="宋体" w:hAnsi="宋体"/>
        </w:rPr>
      </w:pPr>
      <w:r>
        <w:rPr>
          <w:rFonts w:hint="eastAsia" w:ascii="宋体" w:hAnsi="宋体"/>
        </w:rPr>
        <w:t>合同总金额为（人民币）</w:t>
      </w:r>
      <w:r>
        <w:rPr>
          <w:rFonts w:hint="eastAsia" w:ascii="宋体" w:hAnsi="宋体"/>
          <w:u w:val="single"/>
        </w:rPr>
        <w:t xml:space="preserve">                  </w:t>
      </w:r>
      <w:r>
        <w:rPr>
          <w:rFonts w:hint="eastAsia" w:ascii="宋体" w:hAnsi="宋体"/>
        </w:rPr>
        <w:t>元</w:t>
      </w:r>
    </w:p>
    <w:p>
      <w:pPr>
        <w:spacing w:line="360" w:lineRule="auto"/>
        <w:ind w:firstLine="420" w:firstLineChars="200"/>
        <w:rPr>
          <w:rFonts w:ascii="宋体" w:hAnsi="宋体"/>
        </w:rPr>
      </w:pPr>
      <w:r>
        <w:rPr>
          <w:rFonts w:hint="eastAsia" w:ascii="宋体" w:hAnsi="宋体"/>
        </w:rPr>
        <w:t>大写：</w:t>
      </w:r>
      <w:r>
        <w:rPr>
          <w:rFonts w:hint="eastAsia" w:ascii="宋体" w:hAnsi="宋体"/>
          <w:u w:val="single"/>
        </w:rPr>
        <w:t xml:space="preserve">                               </w:t>
      </w:r>
      <w:r>
        <w:rPr>
          <w:rFonts w:hint="eastAsia" w:ascii="宋体" w:hAnsi="宋体"/>
        </w:rPr>
        <w:t>。</w:t>
      </w:r>
    </w:p>
    <w:p>
      <w:pPr>
        <w:spacing w:line="360" w:lineRule="auto"/>
        <w:ind w:firstLine="422" w:firstLineChars="200"/>
        <w:rPr>
          <w:rFonts w:ascii="宋体" w:hAnsi="宋体"/>
          <w:b/>
          <w:bCs/>
        </w:rPr>
      </w:pPr>
      <w:r>
        <w:rPr>
          <w:rFonts w:hint="eastAsia" w:ascii="宋体" w:hAnsi="宋体"/>
          <w:b/>
          <w:bCs/>
        </w:rPr>
        <w:t>4.付款条件</w:t>
      </w:r>
    </w:p>
    <w:p>
      <w:pPr>
        <w:spacing w:line="360" w:lineRule="auto"/>
        <w:ind w:firstLine="420" w:firstLineChars="200"/>
        <w:rPr>
          <w:rFonts w:ascii="宋体" w:hAnsi="宋体"/>
        </w:rPr>
      </w:pPr>
      <w:r>
        <w:rPr>
          <w:rFonts w:hint="eastAsia" w:ascii="宋体" w:hAnsi="宋体"/>
        </w:rPr>
        <w:t>付款条件在合同条款前附表中有明确规定。</w:t>
      </w:r>
    </w:p>
    <w:p>
      <w:pPr>
        <w:spacing w:line="360" w:lineRule="auto"/>
        <w:ind w:firstLine="422" w:firstLineChars="200"/>
        <w:rPr>
          <w:rFonts w:ascii="宋体" w:hAnsi="宋体"/>
          <w:b/>
          <w:bCs/>
        </w:rPr>
      </w:pPr>
      <w:r>
        <w:rPr>
          <w:rFonts w:hint="eastAsia" w:ascii="宋体" w:hAnsi="宋体"/>
          <w:b/>
          <w:bCs/>
        </w:rPr>
        <w:t>5.交货时间</w:t>
      </w:r>
    </w:p>
    <w:p>
      <w:pPr>
        <w:spacing w:line="360" w:lineRule="auto"/>
        <w:ind w:firstLine="420" w:firstLineChars="200"/>
        <w:rPr>
          <w:rFonts w:ascii="宋体" w:hAnsi="宋体"/>
        </w:rPr>
      </w:pPr>
      <w:r>
        <w:rPr>
          <w:rFonts w:hint="eastAsia" w:ascii="宋体" w:hAnsi="宋体"/>
        </w:rPr>
        <w:t>本合同服务时间在“服务报价表”中有明确规定。</w:t>
      </w:r>
    </w:p>
    <w:p>
      <w:pPr>
        <w:spacing w:line="360" w:lineRule="auto"/>
        <w:ind w:firstLine="422" w:firstLineChars="200"/>
        <w:rPr>
          <w:rFonts w:ascii="宋体" w:hAnsi="宋体"/>
          <w:b/>
          <w:bCs/>
        </w:rPr>
      </w:pPr>
      <w:r>
        <w:rPr>
          <w:rFonts w:hint="eastAsia" w:ascii="宋体" w:hAnsi="宋体"/>
          <w:b/>
          <w:bCs/>
        </w:rPr>
        <w:t xml:space="preserve"> 6.合同生效</w:t>
      </w:r>
    </w:p>
    <w:p>
      <w:pPr>
        <w:spacing w:line="360" w:lineRule="auto"/>
        <w:ind w:firstLine="420" w:firstLineChars="200"/>
        <w:rPr>
          <w:rFonts w:ascii="宋体" w:hAnsi="宋体"/>
        </w:rPr>
      </w:pPr>
      <w:r>
        <w:rPr>
          <w:rFonts w:hint="eastAsia" w:ascii="宋体" w:hAnsi="宋体"/>
        </w:rPr>
        <w:t>本合同经</w:t>
      </w:r>
      <w:r>
        <w:rPr>
          <w:rFonts w:hint="eastAsia" w:ascii="宋体" w:hAnsi="宋体"/>
          <w:lang w:val="en-US" w:eastAsia="zh-CN"/>
        </w:rPr>
        <w:t>双</w:t>
      </w:r>
      <w:r>
        <w:rPr>
          <w:rFonts w:hint="eastAsia" w:ascii="宋体" w:hAnsi="宋体"/>
        </w:rPr>
        <w:t>方合法代表签字、单位盖章,并在采购人收到中标供应商提交的履约保证金后生效。</w:t>
      </w:r>
    </w:p>
    <w:p>
      <w:pPr>
        <w:spacing w:line="360" w:lineRule="auto"/>
        <w:rPr>
          <w:rFonts w:ascii="宋体" w:hAnsi="宋体"/>
        </w:rPr>
      </w:pPr>
      <w:r>
        <w:rPr>
          <w:rFonts w:hint="eastAsia" w:ascii="宋体" w:hAnsi="宋体"/>
        </w:rPr>
        <w:t xml:space="preserve">采购人（甲方）：                               中标供应商（乙方）：             </w:t>
      </w:r>
    </w:p>
    <w:p>
      <w:pPr>
        <w:spacing w:line="360" w:lineRule="auto"/>
        <w:rPr>
          <w:rFonts w:ascii="宋体" w:hAnsi="宋体"/>
        </w:rPr>
      </w:pPr>
      <w:r>
        <w:rPr>
          <w:rFonts w:hint="eastAsia" w:ascii="宋体" w:hAnsi="宋体"/>
        </w:rPr>
        <w:t xml:space="preserve">单位盖章：                                     单位盖章：         </w:t>
      </w:r>
    </w:p>
    <w:p>
      <w:pPr>
        <w:spacing w:line="360" w:lineRule="auto"/>
        <w:rPr>
          <w:rFonts w:ascii="宋体" w:hAnsi="宋体"/>
        </w:rPr>
      </w:pPr>
      <w:r>
        <w:rPr>
          <w:rFonts w:hint="eastAsia" w:ascii="宋体" w:hAnsi="宋体"/>
        </w:rPr>
        <w:t>法定代表人或授权人（签字）：                   法定代表人或授权人（签字）：</w:t>
      </w:r>
    </w:p>
    <w:p>
      <w:pPr>
        <w:spacing w:line="360" w:lineRule="auto"/>
        <w:rPr>
          <w:rFonts w:ascii="宋体" w:hAnsi="宋体"/>
        </w:rPr>
      </w:pPr>
      <w:r>
        <w:rPr>
          <w:rFonts w:hint="eastAsia" w:ascii="宋体" w:hAnsi="宋体"/>
        </w:rPr>
        <w:t xml:space="preserve">联系电话：                                     联系电话：                  </w:t>
      </w:r>
    </w:p>
    <w:p>
      <w:pPr>
        <w:spacing w:line="360" w:lineRule="auto"/>
        <w:rPr>
          <w:rFonts w:ascii="宋体" w:hAnsi="宋体"/>
        </w:rPr>
      </w:pPr>
      <w:r>
        <w:rPr>
          <w:rFonts w:hint="eastAsia" w:ascii="宋体" w:hAnsi="宋体"/>
        </w:rPr>
        <w:t xml:space="preserve">开户银行:                                      开户银行:                        </w:t>
      </w:r>
    </w:p>
    <w:p>
      <w:pPr>
        <w:spacing w:line="360" w:lineRule="auto"/>
        <w:rPr>
          <w:rFonts w:ascii="宋体" w:hAnsi="宋体"/>
        </w:rPr>
      </w:pPr>
      <w:r>
        <w:rPr>
          <w:rFonts w:hint="eastAsia" w:ascii="宋体" w:hAnsi="宋体"/>
        </w:rPr>
        <w:t xml:space="preserve">帐号:                                          帐号:                             </w:t>
      </w:r>
    </w:p>
    <w:p>
      <w:pPr>
        <w:spacing w:line="360" w:lineRule="auto"/>
        <w:rPr>
          <w:rFonts w:ascii="宋体" w:hAnsi="宋体"/>
        </w:rPr>
      </w:pPr>
      <w:r>
        <w:rPr>
          <w:rFonts w:hint="eastAsia" w:ascii="宋体" w:hAnsi="宋体"/>
        </w:rPr>
        <w:t xml:space="preserve">日期：    年   月   日                         日期：   年    月   日            </w:t>
      </w:r>
    </w:p>
    <w:p>
      <w:pPr>
        <w:spacing w:line="360" w:lineRule="auto"/>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pStyle w:val="6"/>
      </w:pPr>
      <w:bookmarkStart w:id="77" w:name="_Toc5279"/>
      <w:bookmarkStart w:id="78" w:name="_Toc24798"/>
      <w:r>
        <w:rPr>
          <w:rFonts w:hint="eastAsia"/>
        </w:rPr>
        <w:t>四、合同特殊条款</w:t>
      </w:r>
      <w:bookmarkEnd w:id="77"/>
      <w:bookmarkEnd w:id="78"/>
    </w:p>
    <w:p>
      <w:pPr>
        <w:jc w:val="center"/>
        <w:rPr>
          <w:rFonts w:ascii="宋体" w:hAnsi="宋体" w:cs="Arial"/>
          <w:b/>
          <w:bCs/>
        </w:rPr>
      </w:pPr>
      <w:r>
        <w:rPr>
          <w:rFonts w:hint="eastAsia" w:ascii="宋体" w:hAnsi="宋体" w:cs="Arial"/>
          <w:b/>
          <w:bCs/>
        </w:rPr>
        <w:t xml:space="preserve"> （如有）</w:t>
      </w:r>
    </w:p>
    <w:p/>
    <w:p>
      <w:pPr>
        <w:spacing w:line="500" w:lineRule="exact"/>
        <w:ind w:firstLine="2835" w:firstLineChars="1350"/>
        <w:rPr>
          <w:rFonts w:ascii="宋体" w:hAnsi="宋体"/>
        </w:rPr>
      </w:pPr>
    </w:p>
    <w:p>
      <w:pPr>
        <w:pStyle w:val="59"/>
        <w:rPr>
          <w:color w:val="auto"/>
        </w:rPr>
      </w:pPr>
      <w:r>
        <w:rPr>
          <w:rFonts w:hint="eastAsia"/>
          <w:color w:val="auto"/>
        </w:rPr>
        <w:br w:type="page"/>
      </w:r>
      <w:bookmarkStart w:id="79" w:name="_Toc511899313"/>
      <w:bookmarkEnd w:id="79"/>
      <w:bookmarkStart w:id="80" w:name="_Toc3269"/>
      <w:r>
        <w:rPr>
          <w:rFonts w:hint="eastAsia" w:ascii="黑体"/>
          <w:color w:val="auto"/>
        </w:rPr>
        <w:t>第八章</w:t>
      </w:r>
      <w:r>
        <w:rPr>
          <w:rFonts w:hint="eastAsia"/>
          <w:color w:val="auto"/>
        </w:rPr>
        <w:t xml:space="preserve"> </w:t>
      </w:r>
      <w:r>
        <w:rPr>
          <w:rFonts w:hint="eastAsia" w:ascii="黑体"/>
          <w:color w:val="auto"/>
        </w:rPr>
        <w:t>磋商响应文件</w:t>
      </w:r>
      <w:bookmarkEnd w:id="80"/>
      <w:bookmarkStart w:id="81" w:name="_Toc511898266"/>
      <w:bookmarkEnd w:id="81"/>
    </w:p>
    <w:p>
      <w:pPr>
        <w:ind w:firstLine="3360" w:firstLineChars="1050"/>
        <w:rPr>
          <w:rFonts w:ascii="宋体" w:hAnsi="宋体" w:cs="Arial"/>
          <w:sz w:val="32"/>
          <w:szCs w:val="32"/>
        </w:rPr>
      </w:pPr>
    </w:p>
    <w:p>
      <w:pPr>
        <w:ind w:firstLine="3360" w:firstLineChars="1050"/>
        <w:rPr>
          <w:rFonts w:ascii="宋体" w:hAnsi="宋体" w:cs="Arial"/>
          <w:sz w:val="32"/>
          <w:szCs w:val="32"/>
        </w:rPr>
      </w:pPr>
    </w:p>
    <w:p>
      <w:pPr>
        <w:rPr>
          <w:rFonts w:ascii="宋体" w:hAnsi="宋体" w:cs="Arial"/>
          <w:sz w:val="32"/>
          <w:szCs w:val="32"/>
          <w:u w:val="single"/>
        </w:rPr>
      </w:pPr>
      <w:r>
        <w:rPr>
          <w:rFonts w:hint="eastAsia" w:ascii="宋体" w:hAnsi="宋体" w:cs="Arial"/>
          <w:sz w:val="32"/>
          <w:szCs w:val="32"/>
        </w:rPr>
        <w:t>项目名称：</w:t>
      </w:r>
    </w:p>
    <w:p>
      <w:pPr>
        <w:jc w:val="center"/>
        <w:rPr>
          <w:rFonts w:ascii="宋体" w:hAnsi="宋体" w:cs="Arial"/>
        </w:rPr>
      </w:pPr>
    </w:p>
    <w:p>
      <w:pPr>
        <w:jc w:val="center"/>
        <w:rPr>
          <w:rFonts w:ascii="黑体" w:eastAsia="黑体" w:cs="Arial"/>
          <w:sz w:val="52"/>
          <w:szCs w:val="52"/>
        </w:rPr>
      </w:pPr>
      <w:r>
        <w:rPr>
          <w:rFonts w:hint="eastAsia" w:ascii="黑体" w:eastAsia="黑体" w:cs="Arial"/>
          <w:sz w:val="52"/>
          <w:szCs w:val="52"/>
        </w:rPr>
        <w:t>磋</w:t>
      </w:r>
    </w:p>
    <w:p>
      <w:pPr>
        <w:jc w:val="center"/>
        <w:rPr>
          <w:rFonts w:ascii="黑体" w:eastAsia="黑体" w:cs="Arial"/>
          <w:sz w:val="52"/>
          <w:szCs w:val="52"/>
        </w:rPr>
      </w:pPr>
      <w:r>
        <w:rPr>
          <w:rFonts w:hint="eastAsia" w:ascii="黑体" w:eastAsia="黑体" w:cs="Arial"/>
          <w:sz w:val="52"/>
          <w:szCs w:val="52"/>
        </w:rPr>
        <w:t>商</w:t>
      </w:r>
    </w:p>
    <w:p>
      <w:pPr>
        <w:jc w:val="center"/>
        <w:rPr>
          <w:rFonts w:ascii="黑体" w:eastAsia="黑体" w:cs="Arial"/>
          <w:sz w:val="52"/>
          <w:szCs w:val="52"/>
        </w:rPr>
      </w:pPr>
      <w:r>
        <w:rPr>
          <w:rFonts w:hint="eastAsia" w:ascii="黑体" w:eastAsia="黑体" w:cs="Arial"/>
          <w:sz w:val="52"/>
          <w:szCs w:val="52"/>
        </w:rPr>
        <w:t>响</w:t>
      </w:r>
    </w:p>
    <w:p>
      <w:pPr>
        <w:jc w:val="center"/>
        <w:rPr>
          <w:rFonts w:ascii="黑体" w:eastAsia="黑体" w:cs="Arial"/>
          <w:sz w:val="52"/>
          <w:szCs w:val="52"/>
        </w:rPr>
      </w:pPr>
      <w:r>
        <w:rPr>
          <w:rFonts w:hint="eastAsia" w:ascii="黑体" w:eastAsia="黑体" w:cs="Arial"/>
          <w:sz w:val="52"/>
          <w:szCs w:val="52"/>
        </w:rPr>
        <w:t>应</w:t>
      </w:r>
    </w:p>
    <w:p>
      <w:pPr>
        <w:jc w:val="center"/>
        <w:rPr>
          <w:rFonts w:ascii="黑体" w:eastAsia="黑体" w:cs="Arial"/>
          <w:sz w:val="52"/>
          <w:szCs w:val="52"/>
        </w:rPr>
      </w:pPr>
      <w:r>
        <w:rPr>
          <w:rFonts w:hint="eastAsia" w:ascii="黑体" w:eastAsia="黑体" w:cs="Arial"/>
          <w:sz w:val="52"/>
          <w:szCs w:val="52"/>
        </w:rPr>
        <w:t>文</w:t>
      </w:r>
    </w:p>
    <w:p>
      <w:pPr>
        <w:jc w:val="center"/>
        <w:rPr>
          <w:rFonts w:ascii="黑体" w:eastAsia="黑体" w:cs="Arial"/>
          <w:sz w:val="52"/>
          <w:szCs w:val="52"/>
        </w:rPr>
      </w:pPr>
      <w:r>
        <w:rPr>
          <w:rFonts w:hint="eastAsia" w:ascii="黑体" w:eastAsia="黑体" w:cs="Arial"/>
          <w:sz w:val="52"/>
          <w:szCs w:val="52"/>
        </w:rPr>
        <w:t>件</w:t>
      </w:r>
    </w:p>
    <w:p>
      <w:pPr>
        <w:jc w:val="center"/>
        <w:rPr>
          <w:rFonts w:ascii="宋体" w:hAnsi="宋体" w:cs="Arial"/>
        </w:rPr>
      </w:pPr>
      <w:r>
        <w:rPr>
          <w:rFonts w:hint="eastAsia" w:ascii="宋体" w:hAnsi="宋体" w:cs="Arial"/>
        </w:rPr>
        <w:t xml:space="preserve"> </w:t>
      </w:r>
    </w:p>
    <w:p>
      <w:pPr>
        <w:jc w:val="center"/>
        <w:rPr>
          <w:rFonts w:ascii="宋体" w:hAnsi="宋体" w:cs="Arial"/>
          <w:b/>
          <w:bCs/>
          <w:sz w:val="28"/>
          <w:szCs w:val="28"/>
        </w:rPr>
      </w:pPr>
    </w:p>
    <w:p>
      <w:pPr>
        <w:jc w:val="center"/>
        <w:rPr>
          <w:rFonts w:ascii="宋体" w:hAnsi="宋体" w:cs="Arial"/>
        </w:rPr>
      </w:pPr>
      <w:r>
        <w:rPr>
          <w:rFonts w:hint="eastAsia" w:ascii="宋体" w:hAnsi="宋体" w:cs="Arial"/>
        </w:rPr>
        <w:t xml:space="preserve"> </w:t>
      </w:r>
    </w:p>
    <w:p>
      <w:pPr>
        <w:jc w:val="center"/>
        <w:rPr>
          <w:rFonts w:ascii="宋体" w:hAnsi="宋体" w:cs="Arial"/>
        </w:rPr>
      </w:pPr>
      <w:r>
        <w:rPr>
          <w:rFonts w:hint="eastAsia" w:ascii="宋体" w:hAnsi="宋体" w:cs="Arial"/>
        </w:rPr>
        <w:t xml:space="preserve"> </w:t>
      </w:r>
    </w:p>
    <w:p>
      <w:pPr>
        <w:ind w:firstLine="640" w:firstLineChars="200"/>
        <w:jc w:val="center"/>
        <w:rPr>
          <w:rFonts w:ascii="宋体" w:hAnsi="宋体" w:cs="Arial"/>
          <w:sz w:val="32"/>
          <w:szCs w:val="32"/>
        </w:rPr>
      </w:pPr>
      <w:r>
        <w:rPr>
          <w:rFonts w:hint="eastAsia" w:ascii="宋体" w:hAnsi="宋体" w:cs="Arial"/>
          <w:sz w:val="32"/>
          <w:szCs w:val="32"/>
        </w:rPr>
        <w:t>供应商：                  （盖章）</w:t>
      </w:r>
    </w:p>
    <w:p>
      <w:pPr>
        <w:ind w:firstLine="2880" w:firstLineChars="900"/>
        <w:rPr>
          <w:rFonts w:ascii="宋体" w:hAnsi="宋体" w:cs="Arial"/>
          <w:sz w:val="32"/>
          <w:szCs w:val="32"/>
        </w:rPr>
      </w:pPr>
      <w:r>
        <w:rPr>
          <w:rFonts w:hint="eastAsia" w:ascii="宋体" w:hAnsi="宋体" w:cs="Arial"/>
          <w:sz w:val="32"/>
          <w:szCs w:val="32"/>
        </w:rPr>
        <w:t>年      月      日</w:t>
      </w:r>
    </w:p>
    <w:p>
      <w:pPr>
        <w:pStyle w:val="58"/>
        <w:rPr>
          <w:color w:val="auto"/>
        </w:rPr>
      </w:pPr>
      <w:bookmarkStart w:id="82" w:name="_Toc272141473"/>
      <w:bookmarkEnd w:id="82"/>
      <w:bookmarkStart w:id="83" w:name="_Toc293560330"/>
      <w:bookmarkEnd w:id="83"/>
      <w:bookmarkStart w:id="84" w:name="_Hlk450146465"/>
      <w:bookmarkEnd w:id="84"/>
      <w:bookmarkStart w:id="85" w:name="_Toc19920"/>
      <w:r>
        <w:rPr>
          <w:rFonts w:hint="eastAsia"/>
          <w:color w:val="auto"/>
        </w:rPr>
        <w:br w:type="page"/>
      </w:r>
      <w:bookmarkEnd w:id="85"/>
      <w:bookmarkStart w:id="86" w:name="_Toc511899315"/>
      <w:bookmarkEnd w:id="86"/>
      <w:bookmarkStart w:id="87" w:name="_Toc13104"/>
      <w:r>
        <w:rPr>
          <w:rFonts w:hint="eastAsia"/>
          <w:color w:val="auto"/>
        </w:rPr>
        <w:t>一、磋商响应函</w:t>
      </w:r>
      <w:bookmarkEnd w:id="87"/>
    </w:p>
    <w:p>
      <w:pPr>
        <w:spacing w:line="440" w:lineRule="exact"/>
        <w:jc w:val="left"/>
        <w:rPr>
          <w:rFonts w:ascii="宋体" w:hAnsi="宋体" w:cs="Arial"/>
          <w:b/>
          <w:bCs/>
        </w:rPr>
      </w:pPr>
      <w:r>
        <w:rPr>
          <w:rFonts w:hint="eastAsia" w:ascii="宋体" w:hAnsi="宋体" w:cs="Arial"/>
          <w:b/>
          <w:bCs/>
        </w:rPr>
        <w:t>（采购人名称）：</w:t>
      </w:r>
    </w:p>
    <w:p>
      <w:pPr>
        <w:spacing w:line="440" w:lineRule="exact"/>
        <w:ind w:firstLine="482" w:firstLineChars="230"/>
        <w:rPr>
          <w:rFonts w:ascii="宋体" w:hAnsi="宋体" w:cs="Arial"/>
        </w:rPr>
      </w:pPr>
      <w:r>
        <w:rPr>
          <w:rFonts w:hint="eastAsia" w:ascii="宋体" w:hAnsi="宋体" w:cs="Arial"/>
        </w:rPr>
        <w:t>1、根据贵方竞争性磋商公告，我们决定参加贵方组织的</w:t>
      </w:r>
      <w:r>
        <w:rPr>
          <w:rFonts w:hint="eastAsia" w:ascii="宋体" w:hAnsi="宋体" w:cs="Arial"/>
          <w:u w:val="single"/>
        </w:rPr>
        <w:t xml:space="preserve"> （项目名称）   </w:t>
      </w:r>
      <w:r>
        <w:rPr>
          <w:rFonts w:hint="eastAsia" w:ascii="宋体" w:hAnsi="宋体" w:cs="Arial"/>
        </w:rPr>
        <w:t>的采购活动。我方授权</w:t>
      </w:r>
      <w:r>
        <w:rPr>
          <w:rFonts w:hint="eastAsia" w:ascii="宋体" w:hAnsi="宋体" w:cs="Arial"/>
          <w:u w:val="single"/>
        </w:rPr>
        <w:t xml:space="preserve">  (姓名和职务)   </w:t>
      </w:r>
      <w:r>
        <w:rPr>
          <w:rFonts w:hint="eastAsia" w:ascii="宋体" w:hAnsi="宋体" w:cs="Arial"/>
        </w:rPr>
        <w:t>代表我方</w:t>
      </w:r>
      <w:r>
        <w:rPr>
          <w:rFonts w:hint="eastAsia" w:ascii="宋体" w:hAnsi="宋体" w:cs="Arial"/>
          <w:u w:val="single"/>
        </w:rPr>
        <w:t xml:space="preserve">  （供应商全称）   </w:t>
      </w:r>
      <w:r>
        <w:rPr>
          <w:rFonts w:hint="eastAsia" w:ascii="宋体" w:hAnsi="宋体" w:cs="Arial"/>
        </w:rPr>
        <w:t>全权处理本项目磋商的有关事宜。</w:t>
      </w:r>
    </w:p>
    <w:p>
      <w:pPr>
        <w:widowControl/>
        <w:jc w:val="left"/>
        <w:rPr>
          <w:rFonts w:ascii="宋体" w:hAnsi="宋体" w:cs="Arial"/>
        </w:rPr>
      </w:pPr>
      <w:r>
        <w:rPr>
          <w:rFonts w:hint="eastAsia" w:ascii="宋体" w:hAnsi="宋体" w:cs="Arial"/>
        </w:rPr>
        <w:t>2、我方愿意按照竞争性磋商文件规定的各项要求，向采购人提供所需的货物、服务或工程，总报价为人民币（大写）</w:t>
      </w:r>
      <w:r>
        <w:rPr>
          <w:rFonts w:hint="eastAsia" w:ascii="宋体" w:hAnsi="宋体" w:cs="Arial"/>
          <w:u w:val="single"/>
        </w:rPr>
        <w:t xml:space="preserve">                  </w:t>
      </w:r>
      <w:r>
        <w:rPr>
          <w:rFonts w:hint="eastAsia" w:ascii="宋体" w:hAnsi="宋体" w:cs="Arial"/>
        </w:rPr>
        <w:t>。</w:t>
      </w:r>
      <w:r>
        <w:rPr>
          <w:rFonts w:ascii="宋体" w:hAnsi="宋体" w:cs="宋体"/>
          <w:kern w:val="0"/>
          <w:sz w:val="24"/>
          <w:szCs w:val="24"/>
        </w:rPr>
        <w:t>（￥       元）</w:t>
      </w:r>
    </w:p>
    <w:p>
      <w:pPr>
        <w:spacing w:line="440" w:lineRule="exact"/>
        <w:ind w:firstLine="420" w:firstLineChars="200"/>
        <w:jc w:val="left"/>
        <w:rPr>
          <w:rFonts w:ascii="宋体" w:hAnsi="宋体" w:cs="Arial"/>
        </w:rPr>
      </w:pPr>
      <w:r>
        <w:rPr>
          <w:rFonts w:hint="eastAsia" w:ascii="宋体" w:hAnsi="宋体" w:cs="Arial"/>
        </w:rPr>
        <w:t>3、一旦我方中标，我方将严格履行合同规定的责任和义务，保证于合同签字生效后_____日内完成项目规定的要求，并交付采购人验收、使用。</w:t>
      </w:r>
    </w:p>
    <w:p>
      <w:pPr>
        <w:spacing w:line="440" w:lineRule="exact"/>
        <w:ind w:firstLine="420" w:firstLineChars="200"/>
        <w:jc w:val="left"/>
        <w:rPr>
          <w:rFonts w:ascii="宋体" w:hAnsi="宋体" w:cs="Arial"/>
        </w:rPr>
      </w:pPr>
      <w:r>
        <w:rPr>
          <w:rFonts w:hint="eastAsia" w:ascii="宋体" w:hAnsi="宋体" w:cs="Arial"/>
        </w:rPr>
        <w:t>4、我方承诺，在磋商有效期内如果我方撤回磋商响应文件或成交后拒绝签订合同，我方将放弃要求贵方退还磋商保证金的权利。</w:t>
      </w:r>
    </w:p>
    <w:p>
      <w:pPr>
        <w:spacing w:line="440" w:lineRule="exact"/>
        <w:ind w:firstLine="420" w:firstLineChars="200"/>
        <w:jc w:val="left"/>
        <w:rPr>
          <w:rFonts w:ascii="宋体" w:hAnsi="宋体" w:cs="Arial"/>
        </w:rPr>
      </w:pPr>
      <w:r>
        <w:rPr>
          <w:rFonts w:hint="eastAsia" w:ascii="宋体" w:hAnsi="宋体" w:cs="Arial"/>
        </w:rPr>
        <w:t>5、我方愿意提供贵方可能另外要求的、与磋商有关的文件资料，并保证我方已提供和将要提供的文件是真实的、准确的。</w:t>
      </w:r>
    </w:p>
    <w:p>
      <w:pPr>
        <w:spacing w:line="360" w:lineRule="auto"/>
        <w:ind w:firstLine="420" w:firstLineChars="200"/>
        <w:rPr>
          <w:rFonts w:ascii="宋体" w:hAnsi="宋体" w:cs="Arial"/>
        </w:rPr>
      </w:pPr>
      <w:r>
        <w:rPr>
          <w:rFonts w:hint="eastAsia" w:ascii="宋体" w:hAnsi="宋体" w:cs="Arial"/>
        </w:rPr>
        <w:t>6、我方提供以下开户行、账号，供结算货款（如果成交）：</w:t>
      </w:r>
    </w:p>
    <w:p>
      <w:pPr>
        <w:spacing w:line="360" w:lineRule="auto"/>
        <w:ind w:firstLine="420" w:firstLineChars="200"/>
        <w:rPr>
          <w:rFonts w:ascii="宋体" w:hAnsi="宋体" w:cs="Arial"/>
        </w:rPr>
      </w:pPr>
      <w:r>
        <w:rPr>
          <w:rFonts w:hint="eastAsia" w:ascii="宋体" w:hAnsi="宋体" w:cs="Arial"/>
        </w:rPr>
        <w:t xml:space="preserve">户名（全称）：    </w:t>
      </w:r>
    </w:p>
    <w:p>
      <w:pPr>
        <w:spacing w:line="360" w:lineRule="auto"/>
        <w:ind w:firstLine="420" w:firstLineChars="200"/>
        <w:rPr>
          <w:rFonts w:ascii="宋体" w:hAnsi="宋体" w:cs="Arial"/>
        </w:rPr>
      </w:pPr>
      <w:r>
        <w:rPr>
          <w:rFonts w:hint="eastAsia" w:ascii="宋体" w:hAnsi="宋体" w:cs="Arial"/>
        </w:rPr>
        <w:t xml:space="preserve">开户行：       </w:t>
      </w:r>
    </w:p>
    <w:p>
      <w:pPr>
        <w:spacing w:line="440" w:lineRule="exact"/>
        <w:ind w:firstLine="482" w:firstLineChars="230"/>
        <w:jc w:val="left"/>
        <w:rPr>
          <w:rFonts w:ascii="宋体" w:hAnsi="宋体"/>
        </w:rPr>
      </w:pPr>
      <w:r>
        <w:rPr>
          <w:rFonts w:hint="eastAsia" w:ascii="宋体" w:hAnsi="宋体" w:cs="Arial"/>
        </w:rPr>
        <w:t>账号（请填写完整）：</w:t>
      </w:r>
      <w:r>
        <w:rPr>
          <w:rFonts w:hint="eastAsia" w:ascii="宋体" w:hAnsi="宋体"/>
        </w:rPr>
        <w:t xml:space="preserve"> </w:t>
      </w:r>
      <w:bookmarkStart w:id="88" w:name="_Hlk450185103"/>
      <w:bookmarkEnd w:id="88"/>
      <w:bookmarkStart w:id="89" w:name="_Toc272141474"/>
      <w:r>
        <w:rPr>
          <w:rFonts w:hint="eastAsia" w:ascii="宋体" w:hAnsi="宋体"/>
        </w:rPr>
        <w:t xml:space="preserve">      </w:t>
      </w:r>
      <w:bookmarkEnd w:id="89"/>
    </w:p>
    <w:p>
      <w:pPr>
        <w:pStyle w:val="62"/>
        <w:widowControl w:val="0"/>
        <w:spacing w:line="440" w:lineRule="atLeast"/>
        <w:ind w:firstLine="3675"/>
      </w:pPr>
      <w:r>
        <w:rPr>
          <w:rFonts w:hint="eastAsia" w:ascii="宋体" w:hAnsi="宋体"/>
        </w:rPr>
        <w:t>供应商</w:t>
      </w:r>
      <w:r>
        <w:rPr>
          <w:rFonts w:ascii="宋体" w:hAnsi="宋体"/>
        </w:rPr>
        <w:t>：</w:t>
      </w:r>
      <w:r>
        <w:rPr>
          <w:u w:val="single"/>
        </w:rPr>
        <w:t xml:space="preserve">                      </w:t>
      </w:r>
      <w:r>
        <w:rPr>
          <w:rFonts w:ascii="宋体" w:hAnsi="宋体"/>
        </w:rPr>
        <w:t>（</w:t>
      </w:r>
      <w:r>
        <w:rPr>
          <w:rFonts w:hint="eastAsia" w:ascii="宋体" w:hAnsi="宋体"/>
        </w:rPr>
        <w:t>盖</w:t>
      </w:r>
      <w:r>
        <w:rPr>
          <w:rFonts w:ascii="宋体" w:hAnsi="宋体"/>
        </w:rPr>
        <w:t>章）</w:t>
      </w:r>
    </w:p>
    <w:p>
      <w:pPr>
        <w:pStyle w:val="62"/>
        <w:widowControl w:val="0"/>
        <w:spacing w:line="440" w:lineRule="atLeast"/>
        <w:ind w:firstLine="3570" w:firstLineChars="1700"/>
      </w:pPr>
      <w:r>
        <w:rPr>
          <w:rFonts w:ascii="宋体" w:hAnsi="宋体"/>
        </w:rPr>
        <w:t>法定代表人</w:t>
      </w:r>
      <w:r>
        <w:rPr>
          <w:rFonts w:hint="eastAsia" w:ascii="宋体" w:hAnsi="宋体"/>
        </w:rPr>
        <w:t>（签字或盖章）或代理人签字</w:t>
      </w:r>
      <w:r>
        <w:rPr>
          <w:rFonts w:ascii="宋体" w:hAnsi="宋体"/>
        </w:rPr>
        <w:t>：</w:t>
      </w:r>
      <w:r>
        <w:rPr>
          <w:u w:val="single"/>
        </w:rPr>
        <w:t xml:space="preserve">     </w:t>
      </w:r>
      <w:r>
        <w:rPr>
          <w:rFonts w:hint="eastAsia" w:ascii="宋体" w:hAnsi="宋体"/>
          <w:u w:val="single"/>
        </w:rPr>
        <w:t xml:space="preserve">    </w:t>
      </w:r>
      <w:r>
        <w:rPr>
          <w:u w:val="single"/>
        </w:rPr>
        <w:t xml:space="preserve"> </w:t>
      </w:r>
      <w:r>
        <w:rPr>
          <w:rFonts w:hint="eastAsia" w:ascii="宋体" w:hAnsi="宋体"/>
          <w:u w:val="single"/>
        </w:rPr>
        <w:t xml:space="preserve">   </w:t>
      </w:r>
      <w:r>
        <w:rPr>
          <w:u w:val="single"/>
        </w:rPr>
        <w:t xml:space="preserve"> </w:t>
      </w:r>
    </w:p>
    <w:p>
      <w:pPr>
        <w:pStyle w:val="62"/>
        <w:widowControl w:val="0"/>
        <w:spacing w:line="440" w:lineRule="atLeast"/>
        <w:ind w:firstLine="3675"/>
        <w:rPr>
          <w:rFonts w:ascii="宋体" w:hAnsi="宋体"/>
        </w:rPr>
      </w:pPr>
      <w:r>
        <w:rPr>
          <w:rFonts w:ascii="宋体" w:hAnsi="宋体"/>
        </w:rPr>
        <w:t>地址：</w:t>
      </w:r>
      <w:r>
        <w:rPr>
          <w:u w:val="single"/>
        </w:rPr>
        <w:t xml:space="preserve">                                     </w:t>
      </w:r>
    </w:p>
    <w:p>
      <w:pPr>
        <w:pStyle w:val="62"/>
        <w:widowControl w:val="0"/>
        <w:spacing w:line="440" w:lineRule="atLeast"/>
        <w:ind w:firstLine="3675"/>
        <w:rPr>
          <w:rFonts w:ascii="宋体" w:hAnsi="宋体"/>
        </w:rPr>
      </w:pPr>
      <w:r>
        <w:rPr>
          <w:rFonts w:ascii="宋体" w:hAnsi="宋体"/>
        </w:rPr>
        <w:t>网址：</w:t>
      </w:r>
      <w:r>
        <w:rPr>
          <w:u w:val="single"/>
        </w:rPr>
        <w:t xml:space="preserve">                                     </w:t>
      </w:r>
    </w:p>
    <w:p>
      <w:pPr>
        <w:pStyle w:val="62"/>
        <w:widowControl w:val="0"/>
        <w:spacing w:line="440" w:lineRule="atLeast"/>
        <w:ind w:firstLine="3675"/>
        <w:rPr>
          <w:rFonts w:ascii="宋体" w:hAnsi="宋体"/>
        </w:rPr>
      </w:pPr>
      <w:r>
        <w:rPr>
          <w:rFonts w:ascii="宋体" w:hAnsi="宋体"/>
        </w:rPr>
        <w:t>电话：</w:t>
      </w:r>
      <w:r>
        <w:rPr>
          <w:u w:val="single"/>
        </w:rPr>
        <w:t xml:space="preserve">                                     </w:t>
      </w:r>
    </w:p>
    <w:p>
      <w:pPr>
        <w:pStyle w:val="62"/>
        <w:widowControl w:val="0"/>
        <w:spacing w:line="440" w:lineRule="atLeast"/>
        <w:ind w:firstLine="3675"/>
        <w:rPr>
          <w:rFonts w:ascii="宋体" w:hAnsi="宋体"/>
        </w:rPr>
      </w:pPr>
      <w:r>
        <w:rPr>
          <w:rFonts w:ascii="宋体" w:hAnsi="宋体"/>
        </w:rPr>
        <w:t>传真：</w:t>
      </w:r>
      <w:r>
        <w:rPr>
          <w:u w:val="single"/>
        </w:rPr>
        <w:t xml:space="preserve">                                     </w:t>
      </w:r>
    </w:p>
    <w:p>
      <w:pPr>
        <w:pStyle w:val="62"/>
        <w:widowControl w:val="0"/>
        <w:spacing w:line="440" w:lineRule="atLeast"/>
        <w:ind w:firstLine="3675"/>
        <w:rPr>
          <w:rFonts w:ascii="宋体" w:hAnsi="宋体"/>
        </w:rPr>
      </w:pPr>
      <w:r>
        <w:rPr>
          <w:rFonts w:ascii="宋体" w:hAnsi="宋体"/>
        </w:rPr>
        <w:t>邮政编码：</w:t>
      </w:r>
      <w:r>
        <w:rPr>
          <w:u w:val="single"/>
        </w:rPr>
        <w:t xml:space="preserve">                                 </w:t>
      </w:r>
    </w:p>
    <w:p>
      <w:pPr>
        <w:spacing w:line="440" w:lineRule="exact"/>
        <w:ind w:firstLine="2100" w:firstLineChars="1000"/>
        <w:jc w:val="left"/>
        <w:rPr>
          <w:rFonts w:ascii="宋体" w:hAnsi="宋体"/>
          <w:u w:val="single"/>
        </w:rPr>
      </w:pPr>
      <w:r>
        <w:rPr>
          <w:rFonts w:hint="eastAsia" w:ascii="宋体" w:hAnsi="宋体"/>
        </w:rPr>
        <w:t xml:space="preserve">               日期：</w:t>
      </w:r>
      <w:r>
        <w:rPr>
          <w:rFonts w:hint="eastAsia" w:ascii="宋体" w:hAnsi="宋体"/>
          <w:u w:val="single"/>
        </w:rPr>
        <w:t xml:space="preserve">                                     </w:t>
      </w:r>
    </w:p>
    <w:p>
      <w:pPr>
        <w:pStyle w:val="58"/>
        <w:ind w:firstLine="422" w:firstLineChars="200"/>
        <w:jc w:val="both"/>
        <w:rPr>
          <w:color w:val="auto"/>
        </w:rPr>
      </w:pPr>
      <w:bookmarkStart w:id="90" w:name="_Toc293560334"/>
      <w:bookmarkEnd w:id="90"/>
      <w:bookmarkStart w:id="91" w:name="_Toc272141478"/>
      <w:bookmarkEnd w:id="91"/>
      <w:bookmarkStart w:id="92" w:name="_Toc8918"/>
      <w:r>
        <w:rPr>
          <w:rFonts w:hint="eastAsia"/>
          <w:color w:val="auto"/>
        </w:rPr>
        <w:br w:type="page"/>
      </w:r>
      <w:bookmarkEnd w:id="92"/>
      <w:bookmarkStart w:id="93" w:name="_Toc511899317"/>
      <w:bookmarkEnd w:id="93"/>
      <w:bookmarkStart w:id="94" w:name="_Toc511899316"/>
      <w:bookmarkEnd w:id="94"/>
      <w:bookmarkStart w:id="95" w:name="_Toc4648"/>
      <w:r>
        <w:rPr>
          <w:rFonts w:hint="eastAsia"/>
          <w:color w:val="auto"/>
        </w:rPr>
        <w:t>二、项目要求响应情况表</w:t>
      </w:r>
      <w:bookmarkEnd w:id="95"/>
    </w:p>
    <w:p>
      <w:pPr>
        <w:rPr>
          <w:rFonts w:ascii="宋体" w:hAnsi="宋体"/>
        </w:rPr>
      </w:pPr>
      <w:r>
        <w:rPr>
          <w:rFonts w:hint="eastAsia" w:ascii="宋体" w:hAnsi="宋体"/>
        </w:rPr>
        <w:t xml:space="preserve">  </w:t>
      </w:r>
    </w:p>
    <w:tbl>
      <w:tblPr>
        <w:tblStyle w:val="24"/>
        <w:tblW w:w="9181" w:type="dxa"/>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260"/>
        <w:gridCol w:w="2694"/>
        <w:gridCol w:w="1276"/>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1951" w:type="dxa"/>
            <w:tcBorders>
              <w:top w:val="double" w:color="auto" w:sz="2" w:space="0"/>
              <w:left w:val="double" w:color="auto" w:sz="2"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序号</w:t>
            </w:r>
          </w:p>
        </w:tc>
        <w:tc>
          <w:tcPr>
            <w:tcW w:w="3260" w:type="dxa"/>
            <w:tcBorders>
              <w:top w:val="double" w:color="auto" w:sz="2"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磋商文件要求</w:t>
            </w:r>
          </w:p>
        </w:tc>
        <w:tc>
          <w:tcPr>
            <w:tcW w:w="2694" w:type="dxa"/>
            <w:tcBorders>
              <w:top w:val="double" w:color="auto" w:sz="2" w:space="0"/>
              <w:left w:val="single" w:color="auto" w:sz="4" w:space="0"/>
              <w:bottom w:val="single" w:color="auto" w:sz="4" w:space="0"/>
              <w:right w:val="single" w:color="auto" w:sz="4" w:space="0"/>
            </w:tcBorders>
            <w:vAlign w:val="center"/>
          </w:tcPr>
          <w:p>
            <w:pPr>
              <w:ind w:firstLine="630" w:firstLineChars="300"/>
              <w:rPr>
                <w:rFonts w:ascii="宋体" w:hAnsi="宋体" w:cs="Arial"/>
              </w:rPr>
            </w:pPr>
            <w:r>
              <w:rPr>
                <w:rFonts w:hint="eastAsia" w:ascii="宋体" w:hAnsi="宋体" w:cs="Arial"/>
              </w:rPr>
              <w:t>供应商填写</w:t>
            </w:r>
          </w:p>
        </w:tc>
        <w:tc>
          <w:tcPr>
            <w:tcW w:w="1276" w:type="dxa"/>
            <w:tcBorders>
              <w:top w:val="double" w:color="auto" w:sz="2" w:space="0"/>
              <w:left w:val="single" w:color="auto" w:sz="4" w:space="0"/>
              <w:bottom w:val="single" w:color="auto" w:sz="4" w:space="0"/>
              <w:right w:val="double" w:color="auto" w:sz="2" w:space="0"/>
            </w:tcBorders>
            <w:vAlign w:val="center"/>
          </w:tcPr>
          <w:p>
            <w:pPr>
              <w:ind w:firstLine="105" w:firstLineChars="50"/>
              <w:rPr>
                <w:rFonts w:ascii="宋体" w:hAnsi="宋体" w:cs="Arial"/>
              </w:rPr>
            </w:pPr>
            <w:r>
              <w:rPr>
                <w:rFonts w:hint="eastAsia" w:ascii="宋体" w:hAnsi="宋体" w:cs="Arial"/>
              </w:rPr>
              <w:t>响应情况</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2694"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1" w:type="dxa"/>
            <w:tcBorders>
              <w:top w:val="single" w:color="auto" w:sz="4" w:space="0"/>
              <w:left w:val="double" w:color="auto" w:sz="2" w:space="0"/>
              <w:bottom w:val="double" w:color="auto" w:sz="2" w:space="0"/>
              <w:right w:val="single" w:color="auto" w:sz="4" w:space="0"/>
            </w:tcBorders>
            <w:vAlign w:val="center"/>
          </w:tcPr>
          <w:p>
            <w:pPr>
              <w:jc w:val="center"/>
              <w:rPr>
                <w:rFonts w:ascii="宋体" w:hAnsi="宋体" w:cs="Arial"/>
              </w:rPr>
            </w:pPr>
          </w:p>
        </w:tc>
        <w:tc>
          <w:tcPr>
            <w:tcW w:w="3260" w:type="dxa"/>
            <w:tcBorders>
              <w:top w:val="single" w:color="auto" w:sz="4" w:space="0"/>
              <w:left w:val="single" w:color="auto" w:sz="4" w:space="0"/>
              <w:bottom w:val="double" w:color="auto" w:sz="2" w:space="0"/>
              <w:right w:val="single" w:color="auto" w:sz="4" w:space="0"/>
            </w:tcBorders>
          </w:tcPr>
          <w:p>
            <w:pPr>
              <w:rPr>
                <w:rFonts w:ascii="宋体" w:hAnsi="宋体" w:cs="Arial"/>
              </w:rPr>
            </w:pPr>
          </w:p>
        </w:tc>
        <w:tc>
          <w:tcPr>
            <w:tcW w:w="2694" w:type="dxa"/>
            <w:tcBorders>
              <w:top w:val="single" w:color="auto" w:sz="4" w:space="0"/>
              <w:left w:val="single" w:color="auto" w:sz="4" w:space="0"/>
              <w:bottom w:val="double" w:color="auto" w:sz="2" w:space="0"/>
              <w:right w:val="single" w:color="auto" w:sz="4" w:space="0"/>
            </w:tcBorders>
          </w:tcPr>
          <w:p>
            <w:pPr>
              <w:rPr>
                <w:rFonts w:ascii="宋体" w:hAnsi="宋体" w:cs="Arial"/>
              </w:rPr>
            </w:pPr>
          </w:p>
        </w:tc>
        <w:tc>
          <w:tcPr>
            <w:tcW w:w="1276" w:type="dxa"/>
            <w:tcBorders>
              <w:top w:val="single" w:color="auto" w:sz="4" w:space="0"/>
              <w:left w:val="single" w:color="auto" w:sz="4" w:space="0"/>
              <w:bottom w:val="double" w:color="auto" w:sz="2" w:space="0"/>
              <w:right w:val="double" w:color="auto" w:sz="2" w:space="0"/>
            </w:tcBorders>
          </w:tcPr>
          <w:p>
            <w:pPr>
              <w:rPr>
                <w:rFonts w:ascii="宋体" w:hAnsi="宋体" w:cs="Arial"/>
              </w:rPr>
            </w:pPr>
          </w:p>
        </w:tc>
      </w:tr>
    </w:tbl>
    <w:p>
      <w:pPr>
        <w:rPr>
          <w:rFonts w:ascii="宋体" w:hAnsi="宋体" w:cs="Arial"/>
          <w:b/>
          <w:bCs/>
        </w:rPr>
      </w:pPr>
      <w:r>
        <w:rPr>
          <w:rFonts w:hint="eastAsia" w:ascii="宋体" w:hAnsi="宋体" w:cs="Arial"/>
          <w:b/>
          <w:bCs/>
        </w:rPr>
        <w:t xml:space="preserve">    </w:t>
      </w:r>
    </w:p>
    <w:p>
      <w:pPr>
        <w:rPr>
          <w:rFonts w:ascii="宋体" w:hAnsi="宋体" w:cs="Arial"/>
          <w:b/>
          <w:bCs/>
        </w:rPr>
      </w:pPr>
      <w:r>
        <w:rPr>
          <w:rFonts w:hint="eastAsia" w:ascii="宋体" w:hAnsi="宋体" w:cs="Arial"/>
          <w:b/>
          <w:bCs/>
        </w:rPr>
        <w:t>注意：</w:t>
      </w:r>
    </w:p>
    <w:p>
      <w:pPr>
        <w:ind w:firstLine="420" w:firstLineChars="200"/>
        <w:rPr>
          <w:rFonts w:ascii="宋体" w:hAnsi="宋体" w:cs="Arial"/>
          <w:b/>
          <w:bCs/>
        </w:rPr>
      </w:pPr>
      <w:r>
        <w:rPr>
          <w:rFonts w:hint="eastAsia" w:ascii="宋体" w:hAnsi="宋体" w:cs="Arial"/>
        </w:rPr>
        <w:t>1、供应商必须将自己的服务真实、准确地填入“供应商响应情况”中，</w:t>
      </w:r>
      <w:r>
        <w:rPr>
          <w:rFonts w:hint="eastAsia" w:ascii="宋体" w:hAnsi="宋体"/>
        </w:rPr>
        <w:t>不得以“同左”或“同上”形式填写。</w:t>
      </w:r>
    </w:p>
    <w:p>
      <w:pPr>
        <w:spacing w:line="360" w:lineRule="exact"/>
        <w:ind w:firstLine="420" w:firstLineChars="200"/>
        <w:rPr>
          <w:rFonts w:ascii="宋体" w:hAnsi="宋体" w:cs="Arial"/>
        </w:rPr>
      </w:pPr>
      <w:r>
        <w:rPr>
          <w:rFonts w:hint="eastAsia" w:ascii="宋体" w:hAnsi="宋体" w:cs="Arial"/>
        </w:rPr>
        <w:t>2、供应商必须根据自己所提供的施工或者服务与“磋商文件要求”的差异情况，实事求是地填写“响应情况”（优于、满足、不满足），并将这些差异内容用加粗的字体显示出来，不得出现</w:t>
      </w:r>
      <w:r>
        <w:rPr>
          <w:rFonts w:hint="eastAsia" w:ascii="宋体" w:hAnsi="宋体"/>
        </w:rPr>
        <w:t>通过改动磋商文件要求而使自已满足要求的情况。</w:t>
      </w:r>
    </w:p>
    <w:p>
      <w:pPr>
        <w:spacing w:line="360" w:lineRule="exact"/>
        <w:ind w:firstLine="420" w:firstLineChars="200"/>
        <w:rPr>
          <w:rFonts w:ascii="宋体" w:hAnsi="宋体" w:cs="Arial"/>
        </w:rPr>
      </w:pPr>
      <w:r>
        <w:rPr>
          <w:rFonts w:hint="eastAsia" w:ascii="宋体" w:hAnsi="宋体" w:cs="Arial"/>
        </w:rPr>
        <w:t>3、如果供应商没有按前述要求去做，在项目评审中将可能被认为是未对磋商文件作出实质上的响应，或被视作不诚信供应商而拒绝对其做进一步的评审。</w:t>
      </w:r>
    </w:p>
    <w:p>
      <w:pPr>
        <w:spacing w:line="360" w:lineRule="exact"/>
        <w:ind w:firstLine="420" w:firstLineChars="200"/>
        <w:rPr>
          <w:rFonts w:ascii="宋体" w:hAnsi="宋体"/>
        </w:rPr>
      </w:pPr>
      <w:r>
        <w:rPr>
          <w:rFonts w:hint="eastAsia" w:ascii="宋体" w:hAnsi="宋体"/>
        </w:rPr>
        <w:t>4、本表填报顺序需按磋商文件“第三章第一大项”中的顺序填写。</w:t>
      </w:r>
      <w:bookmarkStart w:id="96" w:name="_Toc293560335"/>
      <w:bookmarkEnd w:id="96"/>
      <w:bookmarkStart w:id="97" w:name="_Toc18510"/>
      <w:bookmarkEnd w:id="97"/>
      <w:bookmarkStart w:id="98" w:name="_Toc272141479"/>
      <w:bookmarkEnd w:id="98"/>
    </w:p>
    <w:p>
      <w:pPr>
        <w:pStyle w:val="58"/>
        <w:rPr>
          <w:color w:val="auto"/>
        </w:rPr>
      </w:pPr>
      <w:r>
        <w:rPr>
          <w:rFonts w:hint="eastAsia"/>
          <w:color w:val="auto"/>
        </w:rPr>
        <w:br w:type="page"/>
      </w:r>
      <w:bookmarkStart w:id="99" w:name="_Toc511899318"/>
      <w:bookmarkEnd w:id="99"/>
      <w:bookmarkStart w:id="100" w:name="_Toc23789"/>
      <w:r>
        <w:rPr>
          <w:rFonts w:hint="eastAsia"/>
          <w:color w:val="auto"/>
        </w:rPr>
        <w:t>三、商务要求响应情况表（通用）</w:t>
      </w:r>
      <w:bookmarkEnd w:id="100"/>
    </w:p>
    <w:p>
      <w:pPr>
        <w:rPr>
          <w:rFonts w:ascii="宋体" w:hAnsi="宋体"/>
        </w:rPr>
      </w:pPr>
      <w:r>
        <w:rPr>
          <w:rFonts w:hint="eastAsia" w:ascii="宋体" w:hAnsi="宋体"/>
        </w:rPr>
        <w:t xml:space="preserve">  </w:t>
      </w:r>
    </w:p>
    <w:tbl>
      <w:tblPr>
        <w:tblStyle w:val="24"/>
        <w:tblW w:w="9181" w:type="dxa"/>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44"/>
        <w:gridCol w:w="3119"/>
        <w:gridCol w:w="1276"/>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1242" w:type="dxa"/>
            <w:tcBorders>
              <w:top w:val="double" w:color="auto" w:sz="2" w:space="0"/>
              <w:left w:val="double" w:color="auto" w:sz="2"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序号</w:t>
            </w:r>
          </w:p>
        </w:tc>
        <w:tc>
          <w:tcPr>
            <w:tcW w:w="3544" w:type="dxa"/>
            <w:tcBorders>
              <w:top w:val="double" w:color="auto" w:sz="2"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磋商文件要求</w:t>
            </w:r>
          </w:p>
        </w:tc>
        <w:tc>
          <w:tcPr>
            <w:tcW w:w="3119" w:type="dxa"/>
            <w:tcBorders>
              <w:top w:val="double" w:color="auto" w:sz="2" w:space="0"/>
              <w:left w:val="single" w:color="auto" w:sz="4" w:space="0"/>
              <w:bottom w:val="single" w:color="auto" w:sz="4" w:space="0"/>
              <w:right w:val="single" w:color="auto" w:sz="4" w:space="0"/>
            </w:tcBorders>
            <w:vAlign w:val="center"/>
          </w:tcPr>
          <w:p>
            <w:pPr>
              <w:ind w:firstLine="630" w:firstLineChars="300"/>
              <w:rPr>
                <w:rFonts w:ascii="宋体" w:hAnsi="宋体" w:cs="Arial"/>
              </w:rPr>
            </w:pPr>
            <w:r>
              <w:rPr>
                <w:rFonts w:hint="eastAsia" w:ascii="宋体" w:hAnsi="宋体" w:cs="Arial"/>
              </w:rPr>
              <w:t>供应商填写</w:t>
            </w:r>
          </w:p>
        </w:tc>
        <w:tc>
          <w:tcPr>
            <w:tcW w:w="1276" w:type="dxa"/>
            <w:tcBorders>
              <w:top w:val="double" w:color="auto" w:sz="2" w:space="0"/>
              <w:left w:val="single" w:color="auto" w:sz="4" w:space="0"/>
              <w:bottom w:val="single" w:color="auto" w:sz="4" w:space="0"/>
              <w:right w:val="double" w:color="auto" w:sz="2" w:space="0"/>
            </w:tcBorders>
            <w:vAlign w:val="center"/>
          </w:tcPr>
          <w:p>
            <w:pPr>
              <w:ind w:firstLine="105" w:firstLineChars="50"/>
              <w:rPr>
                <w:rFonts w:ascii="宋体" w:hAnsi="宋体" w:cs="Arial"/>
              </w:rPr>
            </w:pPr>
            <w:r>
              <w:rPr>
                <w:rFonts w:hint="eastAsia" w:ascii="宋体" w:hAnsi="宋体" w:cs="Arial"/>
              </w:rPr>
              <w:t>响应情况</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rPr>
            </w:pPr>
          </w:p>
        </w:tc>
        <w:tc>
          <w:tcPr>
            <w:tcW w:w="3119" w:type="dxa"/>
            <w:tcBorders>
              <w:top w:val="single" w:color="auto" w:sz="4" w:space="0"/>
              <w:left w:val="single" w:color="auto" w:sz="4" w:space="0"/>
              <w:bottom w:val="single" w:color="auto" w:sz="4" w:space="0"/>
              <w:right w:val="single" w:color="auto" w:sz="4" w:space="0"/>
            </w:tcBorders>
          </w:tcPr>
          <w:p>
            <w:pPr>
              <w:rPr>
                <w:rFonts w:ascii="宋体" w:hAnsi="宋体" w:cs="Arial"/>
              </w:rPr>
            </w:pPr>
          </w:p>
        </w:tc>
        <w:tc>
          <w:tcPr>
            <w:tcW w:w="1276" w:type="dxa"/>
            <w:tcBorders>
              <w:top w:val="single" w:color="auto" w:sz="4" w:space="0"/>
              <w:left w:val="single" w:color="auto" w:sz="4" w:space="0"/>
              <w:bottom w:val="single" w:color="auto" w:sz="4" w:space="0"/>
              <w:right w:val="double" w:color="auto" w:sz="2" w:space="0"/>
            </w:tcBorders>
          </w:tcPr>
          <w:p>
            <w:pP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42" w:type="dxa"/>
            <w:tcBorders>
              <w:top w:val="single" w:color="auto" w:sz="4" w:space="0"/>
              <w:left w:val="double" w:color="auto" w:sz="2" w:space="0"/>
              <w:bottom w:val="double" w:color="auto" w:sz="2" w:space="0"/>
              <w:right w:val="single" w:color="auto" w:sz="4" w:space="0"/>
            </w:tcBorders>
            <w:vAlign w:val="center"/>
          </w:tcPr>
          <w:p>
            <w:pPr>
              <w:jc w:val="center"/>
              <w:rPr>
                <w:rFonts w:ascii="宋体" w:hAnsi="宋体" w:cs="Arial"/>
              </w:rPr>
            </w:pPr>
          </w:p>
        </w:tc>
        <w:tc>
          <w:tcPr>
            <w:tcW w:w="3544" w:type="dxa"/>
            <w:tcBorders>
              <w:top w:val="single" w:color="auto" w:sz="4" w:space="0"/>
              <w:left w:val="single" w:color="auto" w:sz="4" w:space="0"/>
              <w:bottom w:val="double" w:color="auto" w:sz="2" w:space="0"/>
              <w:right w:val="single" w:color="auto" w:sz="4" w:space="0"/>
            </w:tcBorders>
          </w:tcPr>
          <w:p>
            <w:pPr>
              <w:rPr>
                <w:rFonts w:ascii="宋体" w:hAnsi="宋体" w:cs="Arial"/>
              </w:rPr>
            </w:pPr>
          </w:p>
        </w:tc>
        <w:tc>
          <w:tcPr>
            <w:tcW w:w="3119" w:type="dxa"/>
            <w:tcBorders>
              <w:top w:val="single" w:color="auto" w:sz="4" w:space="0"/>
              <w:left w:val="single" w:color="auto" w:sz="4" w:space="0"/>
              <w:bottom w:val="double" w:color="auto" w:sz="2" w:space="0"/>
              <w:right w:val="single" w:color="auto" w:sz="4" w:space="0"/>
            </w:tcBorders>
          </w:tcPr>
          <w:p>
            <w:pPr>
              <w:rPr>
                <w:rFonts w:ascii="宋体" w:hAnsi="宋体" w:cs="Arial"/>
              </w:rPr>
            </w:pPr>
          </w:p>
        </w:tc>
        <w:tc>
          <w:tcPr>
            <w:tcW w:w="1276" w:type="dxa"/>
            <w:tcBorders>
              <w:top w:val="single" w:color="auto" w:sz="4" w:space="0"/>
              <w:left w:val="single" w:color="auto" w:sz="4" w:space="0"/>
              <w:bottom w:val="double" w:color="auto" w:sz="2" w:space="0"/>
              <w:right w:val="double" w:color="auto" w:sz="2" w:space="0"/>
            </w:tcBorders>
          </w:tcPr>
          <w:p>
            <w:pPr>
              <w:rPr>
                <w:rFonts w:ascii="宋体" w:hAnsi="宋体" w:cs="Arial"/>
              </w:rPr>
            </w:pPr>
          </w:p>
        </w:tc>
      </w:tr>
    </w:tbl>
    <w:p>
      <w:pPr>
        <w:rPr>
          <w:rFonts w:ascii="宋体" w:hAnsi="宋体" w:cs="Arial"/>
          <w:b/>
          <w:bCs/>
        </w:rPr>
      </w:pPr>
      <w:r>
        <w:rPr>
          <w:rFonts w:hint="eastAsia" w:ascii="宋体" w:hAnsi="宋体" w:cs="Arial"/>
          <w:b/>
          <w:bCs/>
        </w:rPr>
        <w:t xml:space="preserve">    </w:t>
      </w:r>
    </w:p>
    <w:p>
      <w:pPr>
        <w:rPr>
          <w:rFonts w:ascii="宋体" w:hAnsi="宋体" w:cs="Arial"/>
          <w:b/>
          <w:bCs/>
        </w:rPr>
      </w:pPr>
      <w:r>
        <w:rPr>
          <w:rFonts w:hint="eastAsia" w:ascii="宋体" w:hAnsi="宋体" w:cs="Arial"/>
          <w:b/>
          <w:bCs/>
        </w:rPr>
        <w:t>注意：</w:t>
      </w:r>
    </w:p>
    <w:p>
      <w:pPr>
        <w:ind w:firstLine="420" w:firstLineChars="200"/>
        <w:rPr>
          <w:rFonts w:ascii="宋体" w:hAnsi="宋体" w:cs="Arial"/>
          <w:b/>
          <w:bCs/>
        </w:rPr>
      </w:pPr>
      <w:r>
        <w:rPr>
          <w:rFonts w:hint="eastAsia" w:ascii="宋体" w:hAnsi="宋体" w:cs="Arial"/>
        </w:rPr>
        <w:t>1、供应商必须将自己的服务真实、准确地填入“供应商响应情况”中，</w:t>
      </w:r>
      <w:r>
        <w:rPr>
          <w:rFonts w:hint="eastAsia" w:ascii="宋体" w:hAnsi="宋体"/>
        </w:rPr>
        <w:t>不得以“同左”或“同上”形式填写。</w:t>
      </w:r>
    </w:p>
    <w:p>
      <w:pPr>
        <w:spacing w:line="360" w:lineRule="exact"/>
        <w:ind w:firstLine="420" w:firstLineChars="200"/>
        <w:rPr>
          <w:rFonts w:ascii="宋体" w:hAnsi="宋体" w:cs="Arial"/>
        </w:rPr>
      </w:pPr>
      <w:r>
        <w:rPr>
          <w:rFonts w:hint="eastAsia" w:ascii="宋体" w:hAnsi="宋体" w:cs="Arial"/>
        </w:rPr>
        <w:t>2、供应商必须根据自己所投服务与“磋商文件要求”的差异情况，实事求是地填写“响应情况”（优于、满足、不满足），并将这些差异内容用加粗的字体显示出来，不得出现</w:t>
      </w:r>
      <w:r>
        <w:rPr>
          <w:rFonts w:hint="eastAsia" w:ascii="宋体" w:hAnsi="宋体"/>
        </w:rPr>
        <w:t>通过改动磋商文件要求而使自已的产品满足要求的情况。</w:t>
      </w:r>
    </w:p>
    <w:p>
      <w:pPr>
        <w:spacing w:line="360" w:lineRule="exact"/>
        <w:ind w:firstLine="420" w:firstLineChars="200"/>
        <w:rPr>
          <w:rFonts w:ascii="宋体" w:hAnsi="宋体" w:cs="Arial"/>
        </w:rPr>
      </w:pPr>
      <w:r>
        <w:rPr>
          <w:rFonts w:hint="eastAsia" w:ascii="宋体" w:hAnsi="宋体" w:cs="Arial"/>
        </w:rPr>
        <w:t>3、如果供应商没有按前述要求去做，在项目评审中将可能被认为是未对磋商文件作出实质上的响应，或被视作不诚信供应商而拒绝对其做进一步的评审。</w:t>
      </w:r>
    </w:p>
    <w:p>
      <w:pPr>
        <w:spacing w:line="360" w:lineRule="exact"/>
        <w:ind w:firstLine="420" w:firstLineChars="200"/>
        <w:rPr>
          <w:rFonts w:ascii="宋体" w:hAnsi="宋体" w:cs="Arial"/>
        </w:rPr>
      </w:pPr>
      <w:r>
        <w:rPr>
          <w:rFonts w:hint="eastAsia" w:ascii="宋体" w:hAnsi="宋体" w:cs="Arial"/>
        </w:rPr>
        <w:t>4、本表填报顺序需按磋商文件“第三章第二大项”中的顺序填写。</w:t>
      </w:r>
    </w:p>
    <w:p>
      <w:pPr>
        <w:spacing w:line="360" w:lineRule="exact"/>
        <w:ind w:firstLine="420" w:firstLineChars="200"/>
        <w:rPr>
          <w:rFonts w:ascii="宋体" w:hAnsi="宋体"/>
        </w:rPr>
      </w:pPr>
      <w:r>
        <w:rPr>
          <w:rFonts w:hint="eastAsia" w:ascii="宋体" w:hAnsi="宋体"/>
        </w:rPr>
        <w:t xml:space="preserve"> </w:t>
      </w:r>
    </w:p>
    <w:p>
      <w:pPr>
        <w:spacing w:line="360" w:lineRule="exact"/>
        <w:ind w:firstLine="420" w:firstLineChars="200"/>
        <w:rPr>
          <w:rFonts w:ascii="宋体" w:hAnsi="宋体"/>
        </w:rPr>
      </w:pPr>
      <w:r>
        <w:rPr>
          <w:rFonts w:hint="eastAsia" w:ascii="宋体" w:hAnsi="宋体"/>
        </w:rPr>
        <w:t xml:space="preserve"> </w:t>
      </w:r>
    </w:p>
    <w:p>
      <w:pPr>
        <w:spacing w:line="360" w:lineRule="exact"/>
        <w:ind w:firstLine="420" w:firstLineChars="200"/>
        <w:rPr>
          <w:rFonts w:ascii="宋体" w:hAnsi="宋体"/>
        </w:rPr>
      </w:pPr>
      <w:r>
        <w:rPr>
          <w:rFonts w:hint="eastAsia" w:ascii="宋体" w:hAnsi="宋体"/>
        </w:rPr>
        <w:t xml:space="preserve"> </w:t>
      </w:r>
    </w:p>
    <w:p>
      <w:pPr>
        <w:spacing w:line="360" w:lineRule="exact"/>
        <w:ind w:firstLine="420" w:firstLineChars="200"/>
        <w:rPr>
          <w:rFonts w:ascii="宋体" w:hAnsi="宋体"/>
        </w:rPr>
      </w:pPr>
      <w:r>
        <w:rPr>
          <w:rFonts w:hint="eastAsia" w:ascii="宋体" w:hAnsi="宋体"/>
        </w:rPr>
        <w:t xml:space="preserve"> </w:t>
      </w:r>
    </w:p>
    <w:p>
      <w:pPr>
        <w:spacing w:line="360" w:lineRule="exact"/>
        <w:ind w:firstLine="420" w:firstLineChars="200"/>
        <w:rPr>
          <w:rFonts w:ascii="宋体" w:hAnsi="宋体"/>
        </w:rPr>
      </w:pPr>
      <w:r>
        <w:rPr>
          <w:rFonts w:hint="eastAsia" w:ascii="宋体" w:hAnsi="宋体"/>
        </w:rPr>
        <w:t xml:space="preserve"> </w:t>
      </w:r>
    </w:p>
    <w:p>
      <w:pPr>
        <w:pStyle w:val="58"/>
        <w:rPr>
          <w:color w:val="auto"/>
        </w:rPr>
      </w:pPr>
      <w:r>
        <w:rPr>
          <w:rFonts w:hint="eastAsia"/>
          <w:color w:val="auto"/>
        </w:rPr>
        <w:br w:type="page"/>
      </w:r>
      <w:bookmarkStart w:id="101" w:name="_Toc511899319"/>
      <w:bookmarkEnd w:id="101"/>
      <w:bookmarkStart w:id="102" w:name="_Toc14379"/>
      <w:r>
        <w:rPr>
          <w:rFonts w:hint="eastAsia"/>
          <w:color w:val="auto"/>
        </w:rPr>
        <w:t>四、本项目实施方案</w:t>
      </w:r>
      <w:bookmarkEnd w:id="102"/>
    </w:p>
    <w:p>
      <w:pPr>
        <w:spacing w:line="440" w:lineRule="exact"/>
        <w:jc w:val="left"/>
        <w:rPr>
          <w:rFonts w:ascii="宋体" w:hAnsi="宋体"/>
          <w:b/>
          <w:bCs/>
        </w:rPr>
      </w:pPr>
      <w:r>
        <w:rPr>
          <w:rFonts w:hint="eastAsia" w:ascii="宋体" w:hAnsi="宋体"/>
          <w:b/>
          <w:bCs/>
        </w:rPr>
        <w:t>（一）供应商或生产企业简介</w:t>
      </w:r>
    </w:p>
    <w:p>
      <w:pPr>
        <w:spacing w:line="440" w:lineRule="exact"/>
        <w:jc w:val="left"/>
        <w:rPr>
          <w:rFonts w:ascii="宋体" w:hAnsi="宋体"/>
        </w:rPr>
      </w:pPr>
      <w:r>
        <w:rPr>
          <w:rFonts w:hint="eastAsia" w:ascii="宋体" w:hAnsi="宋体"/>
        </w:rPr>
        <w:t>（不超过1000字）</w:t>
      </w:r>
    </w:p>
    <w:p>
      <w:pPr>
        <w:spacing w:line="440" w:lineRule="exact"/>
        <w:jc w:val="left"/>
        <w:rPr>
          <w:rFonts w:ascii="宋体" w:hAnsi="宋体"/>
          <w:b/>
          <w:bCs/>
        </w:rPr>
      </w:pPr>
      <w:r>
        <w:rPr>
          <w:rFonts w:hint="eastAsia" w:ascii="宋体" w:hAnsi="宋体"/>
          <w:b/>
          <w:bCs/>
        </w:rPr>
        <w:t>（二）本项目详细实施方案、售后方案等</w:t>
      </w:r>
    </w:p>
    <w:p>
      <w:pPr>
        <w:spacing w:line="440" w:lineRule="exact"/>
        <w:jc w:val="left"/>
        <w:rPr>
          <w:rFonts w:ascii="宋体" w:hAnsi="宋体"/>
        </w:rPr>
      </w:pPr>
      <w:r>
        <w:rPr>
          <w:rFonts w:hint="eastAsia" w:ascii="宋体" w:hAnsi="宋体"/>
        </w:rPr>
        <w:t>（详细说明）</w:t>
      </w:r>
    </w:p>
    <w:p>
      <w:pPr>
        <w:spacing w:line="440" w:lineRule="exact"/>
        <w:ind w:firstLine="2368" w:firstLineChars="1123"/>
        <w:jc w:val="left"/>
        <w:rPr>
          <w:rFonts w:ascii="宋体" w:hAnsi="宋体"/>
          <w:b/>
          <w:bCs/>
        </w:rPr>
      </w:pPr>
      <w:r>
        <w:rPr>
          <w:rFonts w:hint="eastAsia" w:ascii="宋体" w:hAnsi="宋体"/>
          <w:b/>
          <w:bCs/>
        </w:rPr>
        <w:t xml:space="preserve"> </w:t>
      </w:r>
    </w:p>
    <w:p>
      <w:pPr>
        <w:pStyle w:val="58"/>
        <w:rPr>
          <w:color w:val="auto"/>
        </w:rPr>
      </w:pPr>
      <w:bookmarkStart w:id="103" w:name="_Hlk450185939"/>
      <w:bookmarkEnd w:id="103"/>
      <w:bookmarkStart w:id="104" w:name="_Toc14703"/>
      <w:bookmarkEnd w:id="104"/>
      <w:bookmarkStart w:id="105" w:name="_Toc272141480"/>
      <w:bookmarkEnd w:id="105"/>
      <w:bookmarkStart w:id="106" w:name="_Toc293560336"/>
      <w:bookmarkEnd w:id="106"/>
      <w:bookmarkStart w:id="107" w:name="_Toc511899320"/>
      <w:bookmarkStart w:id="108" w:name="_Toc31502"/>
      <w:r>
        <w:rPr>
          <w:rFonts w:hint="eastAsia"/>
          <w:color w:val="auto"/>
        </w:rPr>
        <w:t>五、资格证明文件</w:t>
      </w:r>
      <w:bookmarkEnd w:id="107"/>
      <w:r>
        <w:rPr>
          <w:rFonts w:hint="eastAsia"/>
          <w:color w:val="auto"/>
        </w:rPr>
        <w:t>及其他重要资料</w:t>
      </w:r>
      <w:bookmarkEnd w:id="108"/>
    </w:p>
    <w:p>
      <w:pPr>
        <w:spacing w:line="440" w:lineRule="exact"/>
        <w:ind w:firstLine="316" w:firstLineChars="150"/>
        <w:jc w:val="left"/>
        <w:rPr>
          <w:rFonts w:ascii="宋体" w:hAnsi="宋体" w:cs="Arial"/>
          <w:b/>
          <w:bCs/>
        </w:rPr>
      </w:pPr>
      <w:r>
        <w:rPr>
          <w:rFonts w:hint="eastAsia" w:ascii="宋体" w:hAnsi="宋体" w:cs="Arial"/>
          <w:b/>
          <w:bCs/>
        </w:rPr>
        <w:t>供应商必须提供下列文件：</w:t>
      </w:r>
    </w:p>
    <w:p>
      <w:pPr>
        <w:numPr>
          <w:ilvl w:val="0"/>
          <w:numId w:val="8"/>
        </w:numPr>
        <w:spacing w:line="440" w:lineRule="exact"/>
        <w:jc w:val="left"/>
        <w:rPr>
          <w:rFonts w:ascii="宋体" w:hAnsi="宋体" w:cs="Arial"/>
          <w:b/>
          <w:bCs/>
        </w:rPr>
      </w:pPr>
      <w:r>
        <w:rPr>
          <w:rFonts w:hint="eastAsia" w:ascii="宋体" w:hAnsi="宋体" w:cs="Arial"/>
          <w:b/>
          <w:bCs/>
        </w:rPr>
        <w:t>营业执照</w:t>
      </w:r>
    </w:p>
    <w:p>
      <w:pPr>
        <w:numPr>
          <w:ilvl w:val="0"/>
          <w:numId w:val="8"/>
        </w:numPr>
        <w:spacing w:line="440" w:lineRule="exact"/>
        <w:jc w:val="left"/>
        <w:rPr>
          <w:rFonts w:ascii="宋体" w:hAnsi="宋体" w:cs="Arial"/>
          <w:b/>
          <w:bCs/>
        </w:rPr>
      </w:pPr>
      <w:r>
        <w:rPr>
          <w:rFonts w:hint="eastAsia" w:ascii="宋体" w:hAnsi="宋体" w:cs="Arial"/>
          <w:b/>
          <w:bCs/>
        </w:rPr>
        <w:t>税务登记证</w:t>
      </w:r>
    </w:p>
    <w:p>
      <w:pPr>
        <w:spacing w:line="440" w:lineRule="exact"/>
        <w:ind w:firstLine="210" w:firstLineChars="100"/>
        <w:jc w:val="left"/>
        <w:rPr>
          <w:rFonts w:ascii="宋体" w:hAnsi="宋体" w:cs="Arial"/>
        </w:rPr>
      </w:pPr>
    </w:p>
    <w:p>
      <w:pPr>
        <w:spacing w:line="440" w:lineRule="exact"/>
        <w:ind w:firstLine="210" w:firstLineChars="100"/>
        <w:jc w:val="left"/>
        <w:rPr>
          <w:rFonts w:ascii="宋体" w:hAnsi="宋体" w:cs="Arial"/>
          <w:b/>
          <w:bCs/>
        </w:rPr>
      </w:pPr>
      <w:r>
        <w:rPr>
          <w:rFonts w:hint="eastAsia" w:ascii="宋体" w:hAnsi="宋体" w:cs="Arial"/>
        </w:rPr>
        <w:t>（</w:t>
      </w:r>
      <w:r>
        <w:rPr>
          <w:rFonts w:hint="eastAsia" w:ascii="宋体" w:hAnsi="宋体" w:cs="Arial"/>
          <w:b/>
          <w:bCs/>
        </w:rPr>
        <w:t>三）法定代表人授权委托书（原件）</w:t>
      </w:r>
    </w:p>
    <w:p>
      <w:pPr>
        <w:spacing w:line="440" w:lineRule="exact"/>
        <w:jc w:val="left"/>
        <w:rPr>
          <w:rFonts w:ascii="宋体" w:hAnsi="宋体" w:cs="Arial"/>
          <w:b/>
          <w:bCs/>
        </w:rPr>
      </w:pPr>
      <w:r>
        <w:rPr>
          <w:rFonts w:hint="eastAsia" w:ascii="宋体" w:hAnsi="宋体" w:cs="Arial"/>
          <w:b/>
          <w:bCs/>
        </w:rPr>
        <w:t>（采购人名称）：</w:t>
      </w:r>
    </w:p>
    <w:p>
      <w:pPr>
        <w:pStyle w:val="62"/>
        <w:widowControl w:val="0"/>
        <w:topLinePunct/>
        <w:spacing w:line="440" w:lineRule="atLeast"/>
        <w:ind w:firstLine="630" w:firstLineChars="300"/>
      </w:pPr>
      <w:r>
        <w:rPr>
          <w:rFonts w:ascii="宋体" w:hAnsi="宋体"/>
        </w:rPr>
        <w:t>本人</w:t>
      </w:r>
      <w:r>
        <w:rPr>
          <w:u w:val="single"/>
        </w:rPr>
        <w:t xml:space="preserve">   </w:t>
      </w:r>
      <w:r>
        <w:rPr>
          <w:rFonts w:hint="eastAsia" w:ascii="宋体" w:hAnsi="宋体"/>
          <w:u w:val="single"/>
        </w:rPr>
        <w:t xml:space="preserve">    </w:t>
      </w:r>
      <w:r>
        <w:rPr>
          <w:rFonts w:ascii="宋体" w:hAnsi="宋体"/>
          <w:u w:val="single"/>
        </w:rPr>
        <w:t>（姓名）</w:t>
      </w:r>
      <w:r>
        <w:rPr>
          <w:u w:val="single"/>
        </w:rPr>
        <w:t xml:space="preserve"> </w:t>
      </w:r>
      <w:r>
        <w:rPr>
          <w:rFonts w:hint="eastAsia" w:ascii="宋体" w:hAnsi="宋体"/>
          <w:u w:val="single"/>
        </w:rPr>
        <w:t xml:space="preserve">  </w:t>
      </w:r>
      <w:r>
        <w:rPr>
          <w:u w:val="single"/>
        </w:rPr>
        <w:t xml:space="preserve">   </w:t>
      </w:r>
      <w:r>
        <w:rPr>
          <w:rFonts w:ascii="宋体" w:hAnsi="宋体"/>
        </w:rPr>
        <w:t>系</w:t>
      </w:r>
      <w:r>
        <w:rPr>
          <w:u w:val="single"/>
        </w:rPr>
        <w:t xml:space="preserve">    </w:t>
      </w:r>
      <w:r>
        <w:rPr>
          <w:rFonts w:hint="eastAsia" w:ascii="宋体" w:hAnsi="宋体"/>
          <w:u w:val="single"/>
        </w:rPr>
        <w:t xml:space="preserve">   </w:t>
      </w:r>
      <w:r>
        <w:rPr>
          <w:rFonts w:ascii="宋体" w:hAnsi="宋体"/>
          <w:u w:val="single"/>
        </w:rPr>
        <w:t>（</w:t>
      </w:r>
      <w:r>
        <w:rPr>
          <w:rFonts w:hint="eastAsia" w:ascii="宋体" w:hAnsi="宋体"/>
          <w:u w:val="single"/>
        </w:rPr>
        <w:t>供应商</w:t>
      </w:r>
      <w:r>
        <w:rPr>
          <w:rFonts w:ascii="宋体" w:hAnsi="宋体"/>
          <w:u w:val="single"/>
        </w:rPr>
        <w:t>名称）</w:t>
      </w:r>
      <w:r>
        <w:rPr>
          <w:u w:val="single"/>
        </w:rPr>
        <w:t xml:space="preserve">    </w:t>
      </w:r>
      <w:r>
        <w:rPr>
          <w:rFonts w:ascii="宋体" w:hAnsi="宋体"/>
        </w:rPr>
        <w:t>的法定代表人，现委托</w:t>
      </w:r>
      <w:r>
        <w:rPr>
          <w:u w:val="single"/>
        </w:rPr>
        <w:t xml:space="preserve">        </w:t>
      </w:r>
      <w:r>
        <w:rPr>
          <w:rFonts w:ascii="宋体" w:hAnsi="宋体"/>
          <w:u w:val="single"/>
        </w:rPr>
        <w:t>（姓名</w:t>
      </w:r>
      <w:r>
        <w:rPr>
          <w:rFonts w:hint="eastAsia" w:ascii="宋体" w:hAnsi="宋体"/>
          <w:u w:val="single"/>
        </w:rPr>
        <w:t>、职务</w:t>
      </w:r>
      <w:r>
        <w:rPr>
          <w:rFonts w:ascii="宋体" w:hAnsi="宋体"/>
          <w:u w:val="single"/>
        </w:rPr>
        <w:t>）</w:t>
      </w:r>
      <w:r>
        <w:rPr>
          <w:rFonts w:ascii="宋体" w:hAnsi="宋体"/>
        </w:rPr>
        <w:t>为我方代理人。代理人根据授权，以我方名义签署、澄清</w:t>
      </w:r>
      <w:r>
        <w:rPr>
          <w:rFonts w:hint="eastAsia" w:ascii="宋体" w:hAnsi="宋体"/>
        </w:rPr>
        <w:t>、说明、补正</w:t>
      </w:r>
      <w:r>
        <w:rPr>
          <w:rFonts w:ascii="宋体" w:hAnsi="宋体"/>
        </w:rPr>
        <w:t>、递交、撤回、修改</w:t>
      </w:r>
      <w:r>
        <w:rPr>
          <w:u w:val="single"/>
        </w:rPr>
        <w:t xml:space="preserve">  </w:t>
      </w:r>
      <w:r>
        <w:rPr>
          <w:rFonts w:ascii="宋体" w:hAnsi="宋体"/>
          <w:u w:val="single"/>
        </w:rPr>
        <w:t>（项目名称）</w:t>
      </w:r>
      <w:r>
        <w:rPr>
          <w:u w:val="single"/>
        </w:rPr>
        <w:t xml:space="preserve">  </w:t>
      </w:r>
      <w:r>
        <w:rPr>
          <w:rFonts w:hint="eastAsia" w:ascii="宋体" w:hAnsi="宋体"/>
        </w:rPr>
        <w:t>磋商响应</w:t>
      </w:r>
      <w:r>
        <w:rPr>
          <w:rFonts w:ascii="宋体" w:hAnsi="宋体"/>
        </w:rPr>
        <w:t>文件、签订合同和处理有关事宜，其法律后果由我方承担。</w:t>
      </w:r>
    </w:p>
    <w:p>
      <w:pPr>
        <w:pStyle w:val="62"/>
        <w:widowControl w:val="0"/>
        <w:spacing w:line="440" w:lineRule="atLeast"/>
      </w:pPr>
      <w:r>
        <w:t xml:space="preserve">    </w:t>
      </w:r>
      <w:r>
        <w:rPr>
          <w:rFonts w:ascii="宋体" w:hAnsi="宋体"/>
        </w:rPr>
        <w:t>委托期限：</w:t>
      </w:r>
      <w:r>
        <w:rPr>
          <w:u w:val="single"/>
        </w:rPr>
        <w:t xml:space="preserve">      </w:t>
      </w:r>
      <w:r>
        <w:rPr>
          <w:rFonts w:hint="eastAsia" w:ascii="宋体" w:hAnsi="宋体"/>
          <w:u w:val="single"/>
        </w:rPr>
        <w:t xml:space="preserve">           </w:t>
      </w:r>
      <w:r>
        <w:rPr>
          <w:u w:val="single"/>
        </w:rPr>
        <w:t xml:space="preserve">       </w:t>
      </w:r>
      <w:r>
        <w:rPr>
          <w:rFonts w:hint="eastAsia" w:ascii="宋体" w:hAnsi="宋体"/>
        </w:rPr>
        <w:t>。</w:t>
      </w:r>
    </w:p>
    <w:p>
      <w:pPr>
        <w:spacing w:line="440" w:lineRule="exact"/>
        <w:ind w:firstLine="420" w:firstLineChars="200"/>
        <w:jc w:val="left"/>
        <w:rPr>
          <w:rFonts w:ascii="宋体" w:hAnsi="宋体" w:cs="Arial"/>
          <w:b/>
          <w:bCs/>
        </w:rPr>
      </w:pPr>
      <w:r>
        <w:rPr>
          <w:rFonts w:ascii="宋体" w:hAnsi="宋体"/>
        </w:rPr>
        <w:t>代理人无转委托权。</w:t>
      </w:r>
    </w:p>
    <w:p>
      <w:pPr>
        <w:spacing w:line="440" w:lineRule="exact"/>
        <w:jc w:val="left"/>
        <w:rPr>
          <w:rFonts w:ascii="宋体" w:hAnsi="宋体" w:cs="Arial"/>
        </w:rPr>
      </w:pPr>
      <w:r>
        <w:rPr>
          <w:rFonts w:hint="eastAsia" w:ascii="宋体" w:hAnsi="宋体" w:cs="Arial"/>
        </w:rPr>
        <w:t xml:space="preserve"> </w:t>
      </w:r>
    </w:p>
    <w:p>
      <w:pPr>
        <w:spacing w:line="440" w:lineRule="exact"/>
        <w:ind w:firstLine="2520" w:firstLineChars="1200"/>
        <w:jc w:val="left"/>
        <w:rPr>
          <w:rFonts w:ascii="宋体" w:hAnsi="宋体" w:cs="Arial"/>
          <w:u w:val="single"/>
        </w:rPr>
      </w:pPr>
      <w:r>
        <w:rPr>
          <w:rFonts w:hint="eastAsia" w:ascii="宋体" w:hAnsi="宋体" w:cs="Arial"/>
        </w:rPr>
        <w:t>法定代表人签字或盖章：</w:t>
      </w:r>
      <w:r>
        <w:rPr>
          <w:rFonts w:hint="eastAsia" w:ascii="宋体" w:hAnsi="宋体" w:cs="Arial"/>
          <w:u w:val="single"/>
        </w:rPr>
        <w:t xml:space="preserve">                        </w:t>
      </w:r>
    </w:p>
    <w:p>
      <w:pPr>
        <w:spacing w:line="440" w:lineRule="exact"/>
        <w:jc w:val="left"/>
        <w:rPr>
          <w:rFonts w:ascii="宋体" w:hAnsi="宋体" w:cs="Arial"/>
          <w:u w:val="single"/>
        </w:rPr>
      </w:pPr>
      <w:r>
        <w:rPr>
          <w:rFonts w:hint="eastAsia" w:ascii="宋体" w:hAnsi="宋体" w:cs="Arial"/>
        </w:rPr>
        <w:t xml:space="preserve">                            身份证号码：</w:t>
      </w:r>
      <w:r>
        <w:rPr>
          <w:rFonts w:hint="eastAsia" w:ascii="宋体" w:hAnsi="宋体" w:cs="Arial"/>
          <w:u w:val="single"/>
        </w:rPr>
        <w:t xml:space="preserve">                        </w:t>
      </w:r>
    </w:p>
    <w:p>
      <w:pPr>
        <w:spacing w:line="440" w:lineRule="exact"/>
        <w:ind w:firstLine="2205" w:firstLineChars="1050"/>
        <w:jc w:val="left"/>
        <w:rPr>
          <w:rFonts w:ascii="宋体" w:hAnsi="宋体" w:cs="Arial"/>
        </w:rPr>
      </w:pPr>
      <w:r>
        <w:rPr>
          <w:rFonts w:hint="eastAsia" w:ascii="宋体" w:hAnsi="宋体" w:cs="Arial"/>
        </w:rPr>
        <w:t>代理人（被授权人）签字：</w:t>
      </w:r>
      <w:r>
        <w:rPr>
          <w:rFonts w:hint="eastAsia" w:ascii="宋体" w:hAnsi="宋体" w:cs="Arial"/>
          <w:u w:val="single"/>
        </w:rPr>
        <w:t xml:space="preserve">                        </w:t>
      </w:r>
    </w:p>
    <w:p>
      <w:pPr>
        <w:spacing w:line="440" w:lineRule="exact"/>
        <w:jc w:val="left"/>
        <w:rPr>
          <w:rFonts w:ascii="宋体" w:hAnsi="宋体" w:cs="Arial"/>
        </w:rPr>
      </w:pPr>
      <w:r>
        <w:rPr>
          <w:rFonts w:hint="eastAsia" w:ascii="宋体" w:hAnsi="宋体" w:cs="Arial"/>
        </w:rPr>
        <w:t xml:space="preserve">                            身份证号码：</w:t>
      </w:r>
      <w:r>
        <w:rPr>
          <w:rFonts w:hint="eastAsia" w:ascii="宋体" w:hAnsi="宋体" w:cs="Arial"/>
          <w:u w:val="single"/>
        </w:rPr>
        <w:t xml:space="preserve">                        </w:t>
      </w:r>
    </w:p>
    <w:p>
      <w:pPr>
        <w:spacing w:line="440" w:lineRule="exact"/>
        <w:jc w:val="left"/>
        <w:rPr>
          <w:rFonts w:ascii="宋体" w:hAnsi="宋体" w:cs="Arial"/>
        </w:rPr>
      </w:pPr>
      <w:r>
        <w:rPr>
          <w:rFonts w:hint="eastAsia" w:ascii="宋体" w:hAnsi="宋体" w:cs="Arial"/>
        </w:rPr>
        <w:t xml:space="preserve">                            供应商名称：</w:t>
      </w:r>
      <w:r>
        <w:rPr>
          <w:rFonts w:hint="eastAsia" w:ascii="宋体" w:hAnsi="宋体" w:cs="Arial"/>
          <w:u w:val="single"/>
        </w:rPr>
        <w:t xml:space="preserve">                        </w:t>
      </w:r>
      <w:r>
        <w:rPr>
          <w:rFonts w:hint="eastAsia" w:ascii="宋体" w:hAnsi="宋体" w:cs="Arial"/>
        </w:rPr>
        <w:t>（</w:t>
      </w:r>
      <w:r>
        <w:rPr>
          <w:rFonts w:hint="eastAsia" w:ascii="宋体" w:hAnsi="宋体"/>
        </w:rPr>
        <w:t>盖</w:t>
      </w:r>
      <w:r>
        <w:rPr>
          <w:rFonts w:ascii="宋体" w:hAnsi="宋体"/>
        </w:rPr>
        <w:t>章</w:t>
      </w:r>
      <w:r>
        <w:rPr>
          <w:rFonts w:hint="eastAsia" w:ascii="宋体" w:hAnsi="宋体" w:cs="Arial"/>
        </w:rPr>
        <w:t>）</w:t>
      </w:r>
    </w:p>
    <w:p>
      <w:pPr>
        <w:spacing w:line="440" w:lineRule="exact"/>
        <w:jc w:val="left"/>
        <w:rPr>
          <w:rFonts w:ascii="宋体" w:hAnsi="宋体" w:cs="Arial"/>
          <w:u w:val="single"/>
        </w:rPr>
      </w:pPr>
      <w:r>
        <w:rPr>
          <w:rFonts w:hint="eastAsia" w:ascii="宋体" w:hAnsi="宋体" w:cs="Arial"/>
        </w:rPr>
        <w:t xml:space="preserve">                            日      期：</w:t>
      </w:r>
      <w:r>
        <w:rPr>
          <w:rFonts w:hint="eastAsia" w:ascii="宋体" w:hAnsi="宋体" w:cs="Arial"/>
          <w:u w:val="single"/>
        </w:rPr>
        <w:t xml:space="preserve">                   </w:t>
      </w:r>
    </w:p>
    <w:p>
      <w:pPr>
        <w:spacing w:line="440" w:lineRule="exact"/>
        <w:jc w:val="left"/>
        <w:rPr>
          <w:rFonts w:ascii="宋体" w:hAnsi="宋体" w:cs="Arial"/>
        </w:rPr>
      </w:pPr>
      <w:r>
        <w:rPr>
          <w:rFonts w:hint="eastAsia" w:ascii="宋体" w:hAnsi="宋体" w:cs="Arial"/>
        </w:rPr>
        <w:t xml:space="preserve"> </w:t>
      </w:r>
    </w:p>
    <w:p>
      <w:pPr>
        <w:spacing w:line="440" w:lineRule="exact"/>
        <w:jc w:val="left"/>
        <w:rPr>
          <w:rFonts w:ascii="宋体" w:hAnsi="宋体" w:cs="Arial"/>
        </w:rPr>
      </w:pPr>
    </w:p>
    <w:p>
      <w:pPr>
        <w:spacing w:line="440" w:lineRule="exact"/>
        <w:jc w:val="left"/>
        <w:rPr>
          <w:rFonts w:ascii="宋体" w:hAnsi="宋体" w:cs="Arial"/>
        </w:rPr>
      </w:pPr>
    </w:p>
    <w:p>
      <w:pPr>
        <w:spacing w:line="440" w:lineRule="exact"/>
        <w:jc w:val="left"/>
        <w:rPr>
          <w:rFonts w:ascii="宋体" w:hAnsi="宋体" w:cs="Arial"/>
          <w:b/>
          <w:bCs/>
        </w:rPr>
      </w:pPr>
      <w:r>
        <w:rPr>
          <w:rFonts w:hint="eastAsia" w:ascii="宋体" w:hAnsi="宋体" w:cs="Arial"/>
          <w:b/>
          <w:bCs/>
        </w:rPr>
        <w:t>（需附供应商法定代表人、被授权代表人身份证正反面扫描件）</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bCs/>
              </w:rPr>
            </w:pPr>
            <w:r>
              <w:rPr>
                <w:rFonts w:hint="eastAsia" w:ascii="宋体" w:hAnsi="宋体" w:cs="Arial"/>
                <w:b/>
                <w:bCs/>
              </w:rPr>
              <w:t>被授权人</w:t>
            </w:r>
            <w:r>
              <w:rPr>
                <w:rFonts w:hint="eastAsia" w:ascii="宋体" w:hAnsi="宋体"/>
                <w:b/>
                <w:bCs/>
                <w:kern w:val="0"/>
              </w:rPr>
              <w:t>身份证正面</w:t>
            </w:r>
          </w:p>
        </w:tc>
        <w:tc>
          <w:tcPr>
            <w:tcW w:w="4261" w:type="dxa"/>
            <w:tcBorders>
              <w:top w:val="single" w:color="auto" w:sz="4" w:space="0"/>
              <w:left w:val="nil"/>
              <w:bottom w:val="single" w:color="auto" w:sz="4" w:space="0"/>
              <w:right w:val="single" w:color="auto" w:sz="4" w:space="0"/>
            </w:tcBorders>
            <w:vAlign w:val="center"/>
          </w:tcPr>
          <w:p>
            <w:pPr>
              <w:jc w:val="center"/>
              <w:rPr>
                <w:rFonts w:ascii="仿宋_GB2312" w:eastAsia="仿宋_GB2312"/>
                <w:b/>
                <w:bCs/>
              </w:rPr>
            </w:pPr>
            <w:r>
              <w:rPr>
                <w:rFonts w:hint="eastAsia" w:ascii="宋体" w:hAnsi="宋体" w:cs="Arial"/>
                <w:b/>
                <w:bCs/>
              </w:rPr>
              <w:t>被授权人</w:t>
            </w:r>
            <w:r>
              <w:rPr>
                <w:rFonts w:hint="eastAsia" w:ascii="宋体" w:hAnsi="宋体"/>
                <w:b/>
                <w:bCs/>
                <w:kern w:val="0"/>
              </w:rPr>
              <w:t>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0"/>
              </w:rPr>
            </w:pPr>
            <w:r>
              <w:rPr>
                <w:rFonts w:hint="eastAsia" w:ascii="宋体" w:hAnsi="宋体"/>
                <w:b/>
                <w:bCs/>
                <w:kern w:val="0"/>
              </w:rPr>
              <w:t>法定代表人身份证正面</w:t>
            </w:r>
          </w:p>
        </w:tc>
        <w:tc>
          <w:tcPr>
            <w:tcW w:w="4261" w:type="dxa"/>
            <w:tcBorders>
              <w:top w:val="single" w:color="auto" w:sz="4" w:space="0"/>
              <w:left w:val="nil"/>
              <w:bottom w:val="single" w:color="auto" w:sz="4" w:space="0"/>
              <w:right w:val="single" w:color="auto" w:sz="4" w:space="0"/>
            </w:tcBorders>
            <w:vAlign w:val="center"/>
          </w:tcPr>
          <w:p>
            <w:pPr>
              <w:jc w:val="center"/>
              <w:rPr>
                <w:rFonts w:ascii="宋体" w:hAnsi="宋体"/>
                <w:b/>
                <w:bCs/>
                <w:kern w:val="0"/>
              </w:rPr>
            </w:pPr>
            <w:r>
              <w:rPr>
                <w:rFonts w:hint="eastAsia" w:ascii="宋体" w:hAnsi="宋体"/>
                <w:b/>
                <w:bCs/>
                <w:kern w:val="0"/>
              </w:rPr>
              <w:t>法定代表人身份证反面</w:t>
            </w:r>
          </w:p>
        </w:tc>
      </w:tr>
    </w:tbl>
    <w:p>
      <w:pPr>
        <w:spacing w:line="440" w:lineRule="exact"/>
        <w:ind w:firstLine="211" w:firstLineChars="100"/>
        <w:jc w:val="left"/>
        <w:rPr>
          <w:rFonts w:ascii="宋体" w:hAnsi="宋体" w:cs="Arial"/>
          <w:b/>
          <w:bCs/>
        </w:rPr>
      </w:pPr>
      <w:r>
        <w:rPr>
          <w:rFonts w:hint="eastAsia" w:ascii="宋体" w:hAnsi="宋体" w:cs="Arial"/>
          <w:b/>
          <w:bCs/>
        </w:rPr>
        <w:t xml:space="preserve"> </w:t>
      </w:r>
    </w:p>
    <w:p>
      <w:pPr>
        <w:spacing w:line="440" w:lineRule="exact"/>
        <w:ind w:firstLine="211" w:firstLineChars="100"/>
        <w:jc w:val="left"/>
        <w:rPr>
          <w:rFonts w:ascii="宋体" w:hAnsi="宋体" w:cs="Arial"/>
          <w:b/>
          <w:bCs/>
        </w:rPr>
      </w:pPr>
      <w:r>
        <w:rPr>
          <w:rFonts w:hint="eastAsia" w:ascii="宋体" w:hAnsi="宋体" w:cs="Arial"/>
          <w:b/>
          <w:bCs/>
        </w:rPr>
        <w:t>（四）法定代表人身份证明书</w:t>
      </w:r>
    </w:p>
    <w:p>
      <w:pPr>
        <w:spacing w:line="360" w:lineRule="auto"/>
        <w:ind w:firstLine="420" w:firstLineChars="200"/>
        <w:rPr>
          <w:rFonts w:ascii="宋体" w:hAnsi="宋体"/>
        </w:rPr>
      </w:pPr>
      <w:r>
        <w:rPr>
          <w:rFonts w:hint="eastAsia" w:ascii="宋体" w:hAnsi="宋体"/>
        </w:rPr>
        <w:t>供应商名称：</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 xml:space="preserve">单位性质： </w:t>
      </w:r>
      <w:r>
        <w:rPr>
          <w:rFonts w:hint="eastAsia" w:ascii="宋体" w:hAnsi="宋体"/>
          <w:u w:val="single"/>
        </w:rPr>
        <w:t xml:space="preserve">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420" w:firstLineChars="200"/>
        <w:rPr>
          <w:rFonts w:ascii="宋体" w:hAnsi="宋体"/>
        </w:rPr>
      </w:pPr>
      <w:r>
        <w:rPr>
          <w:rFonts w:hint="eastAsia" w:ascii="宋体" w:hAnsi="宋体"/>
        </w:rPr>
        <w:t>经营期限：</w:t>
      </w:r>
      <w:r>
        <w:rPr>
          <w:rFonts w:hint="eastAsia" w:ascii="宋体" w:hAnsi="宋体"/>
          <w:u w:val="single"/>
        </w:rPr>
        <w:t xml:space="preserve">                                </w:t>
      </w:r>
      <w:r>
        <w:rPr>
          <w:rFonts w:hint="eastAsia" w:ascii="宋体" w:hAnsi="宋体"/>
        </w:rPr>
        <w:t xml:space="preserve">                                 </w:t>
      </w:r>
    </w:p>
    <w:p>
      <w:pPr>
        <w:spacing w:line="360" w:lineRule="auto"/>
        <w:ind w:firstLine="420" w:firstLineChars="200"/>
        <w:rPr>
          <w:rFonts w:ascii="宋体" w:hAnsi="宋体"/>
        </w:rPr>
      </w:pPr>
      <w:r>
        <w:rPr>
          <w:rFonts w:hint="eastAsia" w:ascii="宋体" w:hAnsi="宋体"/>
        </w:rPr>
        <w:t>供应商纳税人识别号：</w:t>
      </w:r>
      <w:r>
        <w:rPr>
          <w:rFonts w:hint="eastAsia" w:ascii="宋体" w:hAnsi="宋体"/>
          <w:u w:val="single"/>
        </w:rPr>
        <w:t xml:space="preserve">                                </w:t>
      </w:r>
      <w:r>
        <w:rPr>
          <w:rFonts w:hint="eastAsia" w:ascii="宋体" w:hAnsi="宋体"/>
        </w:rPr>
        <w:t xml:space="preserve">                           </w:t>
      </w:r>
    </w:p>
    <w:p>
      <w:pPr>
        <w:spacing w:line="360" w:lineRule="auto"/>
        <w:ind w:firstLine="420" w:firstLineChars="200"/>
        <w:rPr>
          <w:rFonts w:ascii="宋体" w:hAnsi="宋体"/>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r>
        <w:rPr>
          <w:rFonts w:hint="eastAsia" w:ascii="宋体" w:hAnsi="宋体"/>
        </w:rPr>
        <w:t>_</w:t>
      </w:r>
    </w:p>
    <w:p>
      <w:pPr>
        <w:spacing w:line="360" w:lineRule="auto"/>
        <w:ind w:firstLine="420" w:firstLineChars="200"/>
        <w:rPr>
          <w:rFonts w:ascii="宋体" w:hAnsi="宋体"/>
        </w:rPr>
      </w:pPr>
      <w:r>
        <w:rPr>
          <w:rFonts w:hint="eastAsia" w:ascii="宋体" w:hAnsi="宋体"/>
        </w:rPr>
        <w:t>身份证号码：</w:t>
      </w:r>
      <w:r>
        <w:rPr>
          <w:rFonts w:hint="eastAsia" w:ascii="宋体" w:hAnsi="宋体"/>
          <w:u w:val="single"/>
        </w:rPr>
        <w:t xml:space="preserve">                        </w:t>
      </w:r>
    </w:p>
    <w:p>
      <w:pPr>
        <w:spacing w:line="360" w:lineRule="auto"/>
        <w:ind w:firstLine="42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（供应商名称）的法定代表人。</w:t>
      </w:r>
    </w:p>
    <w:p>
      <w:pPr>
        <w:spacing w:line="360" w:lineRule="auto"/>
        <w:ind w:firstLine="840" w:firstLineChars="400"/>
        <w:rPr>
          <w:rFonts w:ascii="宋体" w:hAnsi="宋体"/>
        </w:rPr>
      </w:pPr>
      <w:r>
        <w:rPr>
          <w:rFonts w:hint="eastAsia" w:ascii="宋体" w:hAnsi="宋体"/>
        </w:rPr>
        <w:t>特此证明。</w:t>
      </w:r>
    </w:p>
    <w:p>
      <w:pPr>
        <w:spacing w:line="360" w:lineRule="auto"/>
        <w:rPr>
          <w:rFonts w:ascii="宋体" w:hAnsi="宋体"/>
        </w:rPr>
      </w:pPr>
      <w:r>
        <w:rPr>
          <w:rFonts w:hint="eastAsia" w:ascii="宋体" w:hAnsi="宋体"/>
        </w:rPr>
        <w:t xml:space="preserve">                            供应商：</w:t>
      </w:r>
      <w:r>
        <w:rPr>
          <w:rFonts w:hint="eastAsia" w:ascii="宋体" w:hAnsi="宋体"/>
          <w:u w:val="single"/>
        </w:rPr>
        <w:t xml:space="preserve">              </w:t>
      </w:r>
      <w:r>
        <w:rPr>
          <w:rFonts w:hint="eastAsia" w:ascii="宋体" w:hAnsi="宋体"/>
        </w:rPr>
        <w:t>（盖</w:t>
      </w:r>
      <w:r>
        <w:rPr>
          <w:rFonts w:ascii="宋体" w:hAnsi="宋体"/>
        </w:rPr>
        <w:t>章</w:t>
      </w:r>
      <w:r>
        <w:rPr>
          <w:rFonts w:hint="eastAsia" w:ascii="宋体" w:hAnsi="宋体"/>
        </w:rPr>
        <w:t>）</w:t>
      </w:r>
    </w:p>
    <w:p>
      <w:pPr>
        <w:spacing w:line="360" w:lineRule="auto"/>
        <w:rPr>
          <w:rFonts w:ascii="宋体" w:hAnsi="宋体"/>
        </w:rPr>
      </w:pPr>
      <w:r>
        <w:rPr>
          <w:rFonts w:hint="eastAsia" w:ascii="宋体" w:hAnsi="宋体"/>
        </w:rPr>
        <w:t xml:space="preserve">                                      年    月    日</w:t>
      </w:r>
    </w:p>
    <w:p>
      <w:pPr>
        <w:spacing w:line="360" w:lineRule="auto"/>
        <w:rPr>
          <w:rFonts w:ascii="宋体" w:hAnsi="宋体"/>
        </w:rPr>
      </w:pPr>
      <w:r>
        <w:rPr>
          <w:rFonts w:hint="eastAsia" w:ascii="宋体" w:hAnsi="宋体"/>
        </w:rPr>
        <w:t xml:space="preserve"> </w:t>
      </w:r>
    </w:p>
    <w:p>
      <w:pPr>
        <w:spacing w:line="360" w:lineRule="auto"/>
        <w:rPr>
          <w:rFonts w:ascii="宋体" w:hAnsi="宋体"/>
          <w:sz w:val="24"/>
          <w:szCs w:val="24"/>
        </w:rPr>
      </w:pPr>
      <w:r>
        <w:rPr>
          <w:rFonts w:hint="eastAsia" w:ascii="宋体" w:hAnsi="宋体" w:cs="Arial"/>
          <w:b/>
          <w:bCs/>
          <w:sz w:val="28"/>
          <w:szCs w:val="28"/>
        </w:rPr>
        <w:br w:type="page"/>
      </w:r>
      <w:r>
        <w:rPr>
          <w:rFonts w:hint="eastAsia" w:ascii="宋体" w:hAnsi="宋体" w:cs="Arial"/>
          <w:b/>
          <w:bCs/>
          <w:sz w:val="28"/>
          <w:szCs w:val="28"/>
        </w:rPr>
        <w:t>（五）磋商文件规定的其他材料</w:t>
      </w:r>
    </w:p>
    <w:p>
      <w:pPr>
        <w:spacing w:line="240" w:lineRule="atLeast"/>
        <w:rPr>
          <w:rFonts w:ascii="宋体" w:hAnsi="宋体" w:cs="Arial"/>
          <w:bCs/>
          <w:szCs w:val="28"/>
        </w:rPr>
      </w:pPr>
      <w:r>
        <w:rPr>
          <w:rFonts w:hint="eastAsia" w:ascii="宋体" w:hAnsi="宋体" w:cs="Arial"/>
          <w:bCs/>
          <w:szCs w:val="28"/>
        </w:rPr>
        <w:t>1、财务状况报告</w:t>
      </w:r>
    </w:p>
    <w:p>
      <w:pPr>
        <w:spacing w:line="240" w:lineRule="atLeast"/>
        <w:rPr>
          <w:rFonts w:ascii="宋体" w:hAnsi="宋体" w:cs="Arial"/>
          <w:bCs/>
          <w:szCs w:val="28"/>
        </w:rPr>
      </w:pPr>
      <w:r>
        <w:rPr>
          <w:rFonts w:hint="eastAsia" w:ascii="宋体" w:hAnsi="宋体" w:cs="Arial"/>
          <w:bCs/>
          <w:szCs w:val="28"/>
        </w:rPr>
        <w:t>（投标时需提供上一年度或近期的财务报表﹝至少包含资产负债表和</w:t>
      </w:r>
      <w:r>
        <w:rPr>
          <w:rFonts w:ascii="宋体" w:hAnsi="宋体" w:cs="Arial"/>
          <w:bCs/>
          <w:szCs w:val="28"/>
        </w:rPr>
        <w:t>损益表</w:t>
      </w:r>
      <w:r>
        <w:rPr>
          <w:rFonts w:hint="eastAsia" w:ascii="宋体" w:hAnsi="宋体" w:cs="Arial"/>
          <w:bCs/>
          <w:szCs w:val="28"/>
        </w:rPr>
        <w:t>﹞</w:t>
      </w:r>
    </w:p>
    <w:p>
      <w:pPr>
        <w:pStyle w:val="2"/>
        <w:ind w:left="0" w:leftChars="0" w:firstLine="0" w:firstLineChars="0"/>
        <w:rPr>
          <w:rFonts w:ascii="宋体" w:hAnsi="宋体" w:eastAsia="宋体" w:cs="Arial"/>
          <w:bCs/>
          <w:sz w:val="21"/>
          <w:szCs w:val="28"/>
        </w:rPr>
      </w:pPr>
      <w:r>
        <w:rPr>
          <w:rFonts w:hint="eastAsia" w:ascii="宋体" w:hAnsi="宋体" w:eastAsia="宋体" w:cs="Arial"/>
          <w:bCs/>
          <w:sz w:val="21"/>
          <w:szCs w:val="28"/>
        </w:rPr>
        <w:t>2、近期纳税相关材料</w:t>
      </w:r>
    </w:p>
    <w:p>
      <w:pPr>
        <w:pStyle w:val="2"/>
        <w:ind w:left="0" w:leftChars="0" w:firstLine="0" w:firstLineChars="0"/>
        <w:rPr>
          <w:rFonts w:ascii="宋体" w:hAnsi="宋体" w:eastAsia="宋体" w:cs="Arial"/>
          <w:bCs/>
          <w:sz w:val="21"/>
          <w:szCs w:val="28"/>
        </w:rPr>
      </w:pPr>
      <w:r>
        <w:rPr>
          <w:rFonts w:hint="eastAsia" w:ascii="宋体" w:hAnsi="宋体" w:eastAsia="宋体" w:cs="Arial"/>
          <w:bCs/>
          <w:sz w:val="21"/>
          <w:szCs w:val="28"/>
        </w:rPr>
        <w:t>3、近期缴纳社保相关材料</w:t>
      </w:r>
    </w:p>
    <w:p>
      <w:pPr>
        <w:spacing w:line="240" w:lineRule="atLeast"/>
        <w:rPr>
          <w:rFonts w:ascii="宋体" w:hAnsi="宋体" w:cs="Arial"/>
          <w:bCs/>
          <w:szCs w:val="28"/>
        </w:rPr>
      </w:pPr>
      <w:r>
        <w:rPr>
          <w:rFonts w:hint="eastAsia" w:ascii="宋体" w:hAnsi="宋体" w:cs="Arial"/>
          <w:bCs/>
          <w:szCs w:val="28"/>
        </w:rPr>
        <w:t>4、具备履行合同所必须的设备和专业技术能力的证明材料（如场所照片或技术人员名单）</w:t>
      </w:r>
    </w:p>
    <w:p>
      <w:pPr>
        <w:pStyle w:val="2"/>
        <w:ind w:left="0" w:leftChars="0" w:firstLine="0" w:firstLineChars="0"/>
        <w:rPr>
          <w:rFonts w:ascii="宋体" w:hAnsi="宋体" w:eastAsia="宋体" w:cs="Arial"/>
          <w:bCs/>
          <w:sz w:val="21"/>
          <w:szCs w:val="28"/>
        </w:rPr>
      </w:pPr>
      <w:r>
        <w:rPr>
          <w:rFonts w:hint="eastAsia" w:ascii="宋体" w:hAnsi="宋体" w:eastAsia="宋体" w:cs="Arial"/>
          <w:bCs/>
          <w:sz w:val="21"/>
          <w:szCs w:val="28"/>
        </w:rPr>
        <w:t>5、参加政府采购活动前3年内在经营活动中没有重大违法记录或因违法经营被禁止在一定期限内参加政府采购活动但期限已届满的书面声明（投标人自行承诺并加盖投标人公章）</w:t>
      </w:r>
    </w:p>
    <w:p>
      <w:pPr>
        <w:pStyle w:val="2"/>
        <w:ind w:left="0" w:leftChars="0" w:firstLine="0" w:firstLineChars="0"/>
        <w:rPr>
          <w:rFonts w:ascii="宋体" w:hAnsi="宋体" w:eastAsia="宋体" w:cs="Arial"/>
          <w:bCs/>
          <w:sz w:val="21"/>
          <w:szCs w:val="28"/>
        </w:rPr>
      </w:pPr>
      <w:r>
        <w:rPr>
          <w:rFonts w:hint="eastAsia" w:ascii="宋体" w:hAnsi="宋体" w:eastAsia="宋体" w:cs="Arial"/>
          <w:bCs/>
          <w:sz w:val="21"/>
          <w:szCs w:val="28"/>
        </w:rPr>
        <w:t>6、磋商文件规定的其他材料</w:t>
      </w:r>
    </w:p>
    <w:p>
      <w:pPr>
        <w:pStyle w:val="61"/>
        <w:spacing w:line="240" w:lineRule="atLeast"/>
        <w:ind w:left="773" w:firstLine="0" w:firstLineChars="0"/>
        <w:rPr>
          <w:rFonts w:ascii="宋体" w:hAnsi="宋体"/>
          <w:b/>
          <w:sz w:val="30"/>
          <w:szCs w:val="30"/>
        </w:rPr>
      </w:pPr>
    </w:p>
    <w:p>
      <w:pPr>
        <w:pStyle w:val="2"/>
        <w:ind w:left="773" w:leftChars="0" w:firstLine="0" w:firstLineChars="0"/>
      </w:pPr>
    </w:p>
    <w:p>
      <w:pPr>
        <w:jc w:val="center"/>
      </w:pPr>
      <w:r>
        <w:br w:type="page"/>
      </w:r>
      <w:r>
        <w:rPr>
          <w:rFonts w:hint="eastAsia"/>
          <w:b/>
          <w:bCs/>
        </w:rPr>
        <w:t xml:space="preserve">  </w:t>
      </w:r>
      <w:bookmarkStart w:id="109" w:name="_Toc511899322"/>
      <w:bookmarkEnd w:id="109"/>
      <w:bookmarkStart w:id="110" w:name="_Toc511898267"/>
      <w:bookmarkEnd w:id="110"/>
      <w:r>
        <w:rPr>
          <w:rFonts w:hint="eastAsia"/>
          <w:b/>
          <w:bCs/>
        </w:rPr>
        <w:t>一、开标一览表</w:t>
      </w:r>
    </w:p>
    <w:p>
      <w:pPr>
        <w:rPr>
          <w:rFonts w:ascii="宋体" w:hAnsi="宋体" w:cs="Arial"/>
          <w:b/>
          <w:bCs/>
        </w:rPr>
      </w:pPr>
      <w:r>
        <w:rPr>
          <w:rFonts w:hint="eastAsia" w:ascii="宋体" w:hAnsi="宋体" w:cs="Arial"/>
          <w:b/>
          <w:bCs/>
        </w:rPr>
        <w:t xml:space="preserve">    </w:t>
      </w:r>
    </w:p>
    <w:tbl>
      <w:tblPr>
        <w:tblStyle w:val="24"/>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vAlign w:val="center"/>
          </w:tcPr>
          <w:p>
            <w:pPr>
              <w:spacing w:line="500" w:lineRule="exact"/>
              <w:jc w:val="center"/>
              <w:rPr>
                <w:rFonts w:ascii="宋体" w:hAnsi="宋体" w:cs="Arial"/>
              </w:rPr>
            </w:pPr>
            <w:bookmarkStart w:id="111" w:name="_Hlk450185766"/>
            <w:r>
              <w:rPr>
                <w:rFonts w:hint="eastAsia" w:ascii="宋体" w:hAnsi="宋体" w:cs="Arial"/>
              </w:rPr>
              <w:t>标题</w:t>
            </w:r>
            <w:bookmarkEnd w:id="111"/>
          </w:p>
        </w:tc>
        <w:tc>
          <w:tcPr>
            <w:tcW w:w="5202" w:type="dxa"/>
            <w:tcBorders>
              <w:top w:val="double" w:color="auto" w:sz="2" w:space="0"/>
              <w:left w:val="nil"/>
              <w:bottom w:val="single" w:color="auto" w:sz="4" w:space="0"/>
              <w:right w:val="double" w:color="auto" w:sz="2" w:space="0"/>
            </w:tcBorders>
            <w:vAlign w:val="center"/>
          </w:tcPr>
          <w:p>
            <w:pPr>
              <w:spacing w:line="500" w:lineRule="exact"/>
              <w:jc w:val="center"/>
              <w:rPr>
                <w:rFonts w:ascii="宋体" w:hAnsi="宋体" w:cs="Arial"/>
              </w:rPr>
            </w:pPr>
            <w:r>
              <w:rPr>
                <w:rFonts w:hint="eastAsia" w:ascii="宋体" w:hAnsi="宋体" w:cs="Aria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9" w:type="dxa"/>
            <w:tcBorders>
              <w:top w:val="double" w:color="auto" w:sz="2" w:space="0"/>
              <w:left w:val="double" w:color="auto" w:sz="2" w:space="0"/>
              <w:bottom w:val="single" w:color="auto" w:sz="4" w:space="0"/>
              <w:right w:val="single" w:color="auto" w:sz="4" w:space="0"/>
            </w:tcBorders>
            <w:vAlign w:val="center"/>
          </w:tcPr>
          <w:p>
            <w:pPr>
              <w:spacing w:line="500" w:lineRule="exact"/>
              <w:jc w:val="center"/>
              <w:rPr>
                <w:rFonts w:ascii="宋体" w:hAnsi="宋体" w:cs="Arial"/>
              </w:rPr>
            </w:pPr>
            <w:r>
              <w:rPr>
                <w:rFonts w:hint="eastAsia" w:ascii="宋体" w:hAnsi="宋体" w:cs="Arial"/>
              </w:rPr>
              <w:t>项目名称</w:t>
            </w:r>
          </w:p>
        </w:tc>
        <w:tc>
          <w:tcPr>
            <w:tcW w:w="5202" w:type="dxa"/>
            <w:tcBorders>
              <w:top w:val="double" w:color="auto" w:sz="2" w:space="0"/>
              <w:left w:val="nil"/>
              <w:bottom w:val="single" w:color="auto" w:sz="4" w:space="0"/>
              <w:right w:val="double" w:color="auto" w:sz="2" w:space="0"/>
            </w:tcBorders>
            <w:vAlign w:val="center"/>
          </w:tcPr>
          <w:p>
            <w:pPr>
              <w:spacing w:line="500" w:lineRule="exact"/>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vAlign w:val="center"/>
          </w:tcPr>
          <w:p>
            <w:pPr>
              <w:spacing w:line="500" w:lineRule="exact"/>
              <w:jc w:val="center"/>
              <w:rPr>
                <w:rFonts w:ascii="宋体" w:hAnsi="宋体" w:cs="Arial"/>
              </w:rPr>
            </w:pPr>
            <w:r>
              <w:rPr>
                <w:rFonts w:hint="eastAsia" w:ascii="宋体" w:hAnsi="宋体" w:cs="Arial"/>
              </w:rPr>
              <w:t>供应商（盖章）</w:t>
            </w:r>
          </w:p>
        </w:tc>
        <w:tc>
          <w:tcPr>
            <w:tcW w:w="5202" w:type="dxa"/>
            <w:tcBorders>
              <w:top w:val="double" w:color="auto" w:sz="2" w:space="0"/>
              <w:left w:val="nil"/>
              <w:bottom w:val="single" w:color="auto" w:sz="4" w:space="0"/>
              <w:right w:val="double" w:color="auto" w:sz="2" w:space="0"/>
            </w:tcBorders>
            <w:vAlign w:val="center"/>
          </w:tcPr>
          <w:p>
            <w:pPr>
              <w:spacing w:line="500" w:lineRule="exact"/>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369" w:type="dxa"/>
            <w:tcBorders>
              <w:top w:val="double" w:color="auto" w:sz="2" w:space="0"/>
              <w:left w:val="double" w:color="auto" w:sz="2" w:space="0"/>
              <w:bottom w:val="single" w:color="auto" w:sz="4" w:space="0"/>
              <w:right w:val="single" w:color="auto" w:sz="4" w:space="0"/>
            </w:tcBorders>
            <w:vAlign w:val="center"/>
          </w:tcPr>
          <w:p>
            <w:pPr>
              <w:spacing w:line="500" w:lineRule="exact"/>
              <w:jc w:val="center"/>
              <w:rPr>
                <w:rFonts w:ascii="宋体" w:hAnsi="宋体" w:cs="Arial"/>
              </w:rPr>
            </w:pPr>
            <w:r>
              <w:rPr>
                <w:rFonts w:hint="eastAsia" w:ascii="宋体" w:hAnsi="宋体" w:cs="Arial"/>
              </w:rPr>
              <w:t>法定代表人（签字或盖章）或</w:t>
            </w:r>
          </w:p>
          <w:p>
            <w:pPr>
              <w:spacing w:line="500" w:lineRule="exact"/>
              <w:jc w:val="center"/>
              <w:rPr>
                <w:rFonts w:ascii="宋体" w:hAnsi="宋体" w:cs="Arial"/>
              </w:rPr>
            </w:pPr>
            <w:r>
              <w:rPr>
                <w:rFonts w:hint="eastAsia" w:ascii="宋体" w:hAnsi="宋体" w:cs="Arial"/>
              </w:rPr>
              <w:t>被授权人（签字）</w:t>
            </w:r>
          </w:p>
        </w:tc>
        <w:tc>
          <w:tcPr>
            <w:tcW w:w="5202" w:type="dxa"/>
            <w:tcBorders>
              <w:top w:val="double" w:color="auto" w:sz="2" w:space="0"/>
              <w:left w:val="nil"/>
              <w:bottom w:val="single" w:color="auto" w:sz="4" w:space="0"/>
              <w:right w:val="double" w:color="auto" w:sz="2" w:space="0"/>
            </w:tcBorders>
            <w:vAlign w:val="center"/>
          </w:tcPr>
          <w:p>
            <w:pPr>
              <w:spacing w:line="500" w:lineRule="exact"/>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3369" w:type="dxa"/>
            <w:tcBorders>
              <w:top w:val="single" w:color="auto" w:sz="4" w:space="0"/>
              <w:left w:val="double" w:color="auto" w:sz="2" w:space="0"/>
              <w:bottom w:val="single" w:color="auto" w:sz="4" w:space="0"/>
              <w:right w:val="single" w:color="auto" w:sz="4" w:space="0"/>
            </w:tcBorders>
            <w:vAlign w:val="center"/>
          </w:tcPr>
          <w:p>
            <w:pPr>
              <w:spacing w:line="500" w:lineRule="exact"/>
              <w:jc w:val="center"/>
              <w:rPr>
                <w:rFonts w:ascii="宋体" w:hAnsi="宋体" w:cs="Arial"/>
              </w:rPr>
            </w:pPr>
            <w:r>
              <w:rPr>
                <w:rFonts w:hint="eastAsia" w:ascii="宋体" w:hAnsi="宋体" w:cs="Arial"/>
              </w:rPr>
              <w:t>投标总报价（人民币大写）</w:t>
            </w:r>
          </w:p>
        </w:tc>
        <w:tc>
          <w:tcPr>
            <w:tcW w:w="5202" w:type="dxa"/>
            <w:tcBorders>
              <w:top w:val="single" w:color="auto" w:sz="4" w:space="0"/>
              <w:left w:val="nil"/>
              <w:bottom w:val="single" w:color="auto" w:sz="4" w:space="0"/>
              <w:right w:val="double" w:color="auto" w:sz="2" w:space="0"/>
            </w:tcBorders>
            <w:vAlign w:val="center"/>
          </w:tcPr>
          <w:p>
            <w:pPr>
              <w:spacing w:line="500" w:lineRule="exact"/>
              <w:rPr>
                <w:rFonts w:ascii="宋体" w:hAnsi="宋体" w:cs="Arial"/>
              </w:rPr>
            </w:pPr>
            <w:r>
              <w:rPr>
                <w:rFonts w:hint="eastAsia" w:ascii="宋体" w:hAnsi="宋体" w:cs="Arial"/>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3369" w:type="dxa"/>
            <w:tcBorders>
              <w:top w:val="single" w:color="auto" w:sz="4" w:space="0"/>
              <w:left w:val="double" w:color="auto" w:sz="2" w:space="0"/>
              <w:bottom w:val="single" w:color="auto" w:sz="4" w:space="0"/>
              <w:right w:val="single" w:color="auto" w:sz="4" w:space="0"/>
            </w:tcBorders>
            <w:vAlign w:val="center"/>
          </w:tcPr>
          <w:p>
            <w:pPr>
              <w:spacing w:line="500" w:lineRule="exact"/>
              <w:jc w:val="center"/>
              <w:rPr>
                <w:rFonts w:ascii="宋体" w:hAnsi="宋体" w:cs="Arial"/>
              </w:rPr>
            </w:pPr>
            <w:r>
              <w:rPr>
                <w:rFonts w:hint="eastAsia" w:ascii="宋体" w:hAnsi="宋体" w:cs="Arial"/>
              </w:rPr>
              <w:t>投标总报价（人民币小写）</w:t>
            </w:r>
          </w:p>
        </w:tc>
        <w:tc>
          <w:tcPr>
            <w:tcW w:w="5202" w:type="dxa"/>
            <w:tcBorders>
              <w:top w:val="single" w:color="auto" w:sz="4" w:space="0"/>
              <w:left w:val="nil"/>
              <w:bottom w:val="single" w:color="auto" w:sz="4" w:space="0"/>
              <w:right w:val="double" w:color="auto" w:sz="2" w:space="0"/>
            </w:tcBorders>
            <w:vAlign w:val="center"/>
          </w:tcPr>
          <w:p>
            <w:pPr>
              <w:spacing w:line="500" w:lineRule="exact"/>
              <w:rPr>
                <w:rFonts w:ascii="宋体" w:hAnsi="宋体" w:cs="Arial"/>
              </w:rPr>
            </w:pPr>
            <w:r>
              <w:rPr>
                <w:rFonts w:hint="eastAsia" w:ascii="宋体" w:hAnsi="宋体" w:cs="Arial"/>
              </w:rPr>
              <w:t xml:space="preserve">                                    元</w:t>
            </w:r>
          </w:p>
        </w:tc>
      </w:tr>
    </w:tbl>
    <w:p>
      <w:pPr>
        <w:ind w:left="7280" w:hanging="7280" w:hangingChars="2600"/>
        <w:rPr>
          <w:rFonts w:ascii="宋体" w:hAnsi="宋体"/>
          <w:sz w:val="28"/>
          <w:szCs w:val="28"/>
        </w:rPr>
      </w:pPr>
      <w:r>
        <w:rPr>
          <w:rFonts w:hint="eastAsia" w:ascii="宋体" w:hAnsi="宋体"/>
          <w:sz w:val="28"/>
          <w:szCs w:val="28"/>
        </w:rPr>
        <w:t xml:space="preserve">     </w:t>
      </w:r>
    </w:p>
    <w:p>
      <w:pPr>
        <w:ind w:left="7280" w:hanging="7280" w:hangingChars="2600"/>
        <w:rPr>
          <w:rFonts w:ascii="宋体" w:hAnsi="宋体"/>
          <w:sz w:val="28"/>
          <w:szCs w:val="28"/>
        </w:rPr>
      </w:pPr>
      <w:r>
        <w:rPr>
          <w:rFonts w:hint="eastAsia" w:ascii="宋体" w:hAnsi="宋体"/>
          <w:sz w:val="28"/>
          <w:szCs w:val="28"/>
        </w:rPr>
        <w:t xml:space="preserve"> </w:t>
      </w:r>
    </w:p>
    <w:p>
      <w:pPr>
        <w:ind w:left="7280" w:hanging="7280" w:hangingChars="2600"/>
        <w:rPr>
          <w:rFonts w:ascii="宋体" w:hAnsi="宋体"/>
          <w:sz w:val="28"/>
          <w:szCs w:val="28"/>
        </w:rPr>
      </w:pPr>
      <w:r>
        <w:rPr>
          <w:rFonts w:hint="eastAsia" w:ascii="宋体" w:hAnsi="宋体"/>
          <w:sz w:val="28"/>
          <w:szCs w:val="28"/>
        </w:rPr>
        <w:t xml:space="preserve"> </w:t>
      </w:r>
    </w:p>
    <w:p>
      <w:pPr>
        <w:ind w:left="7280" w:hanging="7280" w:hangingChars="2600"/>
        <w:rPr>
          <w:rFonts w:ascii="宋体" w:hAnsi="宋体"/>
          <w:sz w:val="28"/>
          <w:szCs w:val="28"/>
        </w:rPr>
      </w:pPr>
      <w:r>
        <w:rPr>
          <w:rFonts w:hint="eastAsia" w:ascii="宋体" w:hAnsi="宋体"/>
          <w:sz w:val="28"/>
          <w:szCs w:val="28"/>
        </w:rPr>
        <w:t xml:space="preserve"> </w:t>
      </w:r>
    </w:p>
    <w:p>
      <w:bookmarkStart w:id="112" w:name="_Toc3760"/>
      <w:bookmarkEnd w:id="112"/>
      <w:r>
        <w:rPr>
          <w:rFonts w:hint="eastAsia"/>
        </w:rPr>
        <w:br w:type="page"/>
      </w:r>
      <w:bookmarkStart w:id="113" w:name="_Toc511899323"/>
      <w:bookmarkEnd w:id="113"/>
      <w:bookmarkStart w:id="114" w:name="_Toc511899324"/>
      <w:bookmarkEnd w:id="114"/>
      <w:r>
        <w:rPr>
          <w:rFonts w:hint="eastAsia"/>
        </w:rPr>
        <w:t>二、服务分项报价表（服务类、工程类项目适用）</w:t>
      </w:r>
    </w:p>
    <w:p>
      <w:r>
        <w:rPr>
          <w:rFonts w:hint="eastAsia" w:ascii="宋体" w:hAnsi="宋体"/>
        </w:rPr>
        <w:t xml:space="preserve">    </w:t>
      </w:r>
    </w:p>
    <w:tbl>
      <w:tblPr>
        <w:tblStyle w:val="24"/>
        <w:tblW w:w="8789" w:type="dxa"/>
        <w:tblInd w:w="108"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tcBorders>
              <w:top w:val="double" w:color="auto" w:sz="2" w:space="0"/>
              <w:left w:val="double" w:color="auto" w:sz="2"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序号</w:t>
            </w:r>
          </w:p>
        </w:tc>
        <w:tc>
          <w:tcPr>
            <w:tcW w:w="5234" w:type="dxa"/>
            <w:tcBorders>
              <w:top w:val="double" w:color="auto" w:sz="2"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内容</w:t>
            </w:r>
          </w:p>
        </w:tc>
        <w:tc>
          <w:tcPr>
            <w:tcW w:w="1559" w:type="dxa"/>
            <w:tcBorders>
              <w:top w:val="double" w:color="auto" w:sz="2"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总价</w:t>
            </w:r>
          </w:p>
          <w:p>
            <w:pPr>
              <w:jc w:val="center"/>
              <w:rPr>
                <w:rFonts w:ascii="宋体" w:hAnsi="宋体" w:cs="Arial"/>
              </w:rPr>
            </w:pPr>
            <w:r>
              <w:rPr>
                <w:rFonts w:hint="eastAsia" w:ascii="宋体" w:hAnsi="宋体" w:cs="Arial"/>
              </w:rPr>
              <w:t>（元）</w:t>
            </w:r>
          </w:p>
        </w:tc>
        <w:tc>
          <w:tcPr>
            <w:tcW w:w="1276" w:type="dxa"/>
            <w:tcBorders>
              <w:top w:val="double" w:color="auto" w:sz="2" w:space="0"/>
              <w:left w:val="single" w:color="auto" w:sz="4" w:space="0"/>
              <w:bottom w:val="single" w:color="auto" w:sz="4" w:space="0"/>
              <w:right w:val="double" w:color="auto" w:sz="2" w:space="0"/>
            </w:tcBorders>
            <w:vAlign w:val="center"/>
          </w:tcPr>
          <w:p>
            <w:pPr>
              <w:jc w:val="center"/>
              <w:rPr>
                <w:rFonts w:ascii="宋体" w:hAnsi="宋体" w:cs="Arial"/>
              </w:rPr>
            </w:pPr>
            <w:r>
              <w:rPr>
                <w:rFonts w:hint="eastAsia" w:ascii="宋体" w:hAnsi="宋体" w:cs="Arial"/>
              </w:rPr>
              <w:t>备注</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r>
              <w:rPr>
                <w:rFonts w:hint="eastAsia" w:ascii="宋体" w:hAnsi="宋体" w:cs="Arial"/>
              </w:rPr>
              <w:t>拟提供的服务或工程费用</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restart"/>
            <w:tcBorders>
              <w:top w:val="single" w:color="auto" w:sz="4" w:space="0"/>
              <w:left w:val="single" w:color="auto" w:sz="4" w:space="0"/>
              <w:bottom w:val="single" w:color="auto" w:sz="4" w:space="0"/>
              <w:right w:val="double" w:color="auto" w:sz="2" w:space="0"/>
            </w:tcBorders>
            <w:vAlign w:val="center"/>
          </w:tcPr>
          <w:p>
            <w:pPr>
              <w:jc w:val="center"/>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single" w:color="auto" w:sz="4" w:space="0"/>
              <w:right w:val="single" w:color="auto" w:sz="4" w:space="0"/>
            </w:tcBorders>
            <w:vAlign w:val="center"/>
          </w:tcPr>
          <w:p>
            <w:pPr>
              <w:jc w:val="center"/>
              <w:rPr>
                <w:rFonts w:ascii="宋体" w:hAnsi="宋体" w:cs="Arial"/>
              </w:rPr>
            </w:pPr>
          </w:p>
        </w:tc>
        <w:tc>
          <w:tcPr>
            <w:tcW w:w="5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20" w:type="dxa"/>
            <w:tcBorders>
              <w:top w:val="single" w:color="auto" w:sz="4" w:space="0"/>
              <w:left w:val="double" w:color="auto" w:sz="2" w:space="0"/>
              <w:bottom w:val="double" w:color="auto" w:sz="2" w:space="0"/>
              <w:right w:val="single" w:color="auto" w:sz="4" w:space="0"/>
            </w:tcBorders>
            <w:vAlign w:val="center"/>
          </w:tcPr>
          <w:p>
            <w:pPr>
              <w:jc w:val="center"/>
              <w:rPr>
                <w:rFonts w:ascii="宋体" w:hAnsi="宋体" w:cs="Arial"/>
                <w:b/>
                <w:bCs/>
              </w:rPr>
            </w:pPr>
            <w:r>
              <w:rPr>
                <w:rFonts w:hint="eastAsia" w:ascii="宋体" w:hAnsi="宋体" w:cs="Arial"/>
                <w:b/>
                <w:bCs/>
              </w:rPr>
              <w:t>合计</w:t>
            </w:r>
          </w:p>
        </w:tc>
        <w:tc>
          <w:tcPr>
            <w:tcW w:w="5234" w:type="dxa"/>
            <w:tcBorders>
              <w:top w:val="single" w:color="auto" w:sz="4" w:space="0"/>
              <w:left w:val="single" w:color="auto" w:sz="4" w:space="0"/>
              <w:bottom w:val="double" w:color="auto" w:sz="2" w:space="0"/>
              <w:right w:val="single" w:color="auto" w:sz="4" w:space="0"/>
            </w:tcBorders>
            <w:vAlign w:val="center"/>
          </w:tcPr>
          <w:p>
            <w:pPr>
              <w:jc w:val="center"/>
              <w:rPr>
                <w:rFonts w:ascii="宋体" w:hAnsi="宋体" w:cs="Arial"/>
                <w:b/>
                <w:bCs/>
              </w:rPr>
            </w:pPr>
          </w:p>
        </w:tc>
        <w:tc>
          <w:tcPr>
            <w:tcW w:w="1559" w:type="dxa"/>
            <w:tcBorders>
              <w:top w:val="single" w:color="auto" w:sz="4" w:space="0"/>
              <w:left w:val="single" w:color="auto" w:sz="4" w:space="0"/>
              <w:bottom w:val="double" w:color="auto" w:sz="2" w:space="0"/>
              <w:right w:val="single" w:color="auto" w:sz="4" w:space="0"/>
            </w:tcBorders>
            <w:vAlign w:val="center"/>
          </w:tcPr>
          <w:p>
            <w:pPr>
              <w:jc w:val="center"/>
              <w:rPr>
                <w:rFonts w:ascii="宋体" w:hAnsi="宋体" w:cs="Arial"/>
                <w:b/>
                <w:bCs/>
              </w:rPr>
            </w:pPr>
          </w:p>
        </w:tc>
        <w:tc>
          <w:tcPr>
            <w:tcW w:w="1276" w:type="dxa"/>
            <w:vMerge w:val="continue"/>
            <w:tcBorders>
              <w:top w:val="single" w:color="auto" w:sz="4" w:space="0"/>
              <w:left w:val="single" w:color="auto" w:sz="4" w:space="0"/>
              <w:bottom w:val="single" w:color="auto" w:sz="4" w:space="0"/>
              <w:right w:val="double" w:color="auto" w:sz="2" w:space="0"/>
            </w:tcBorders>
            <w:vAlign w:val="center"/>
          </w:tcPr>
          <w:p>
            <w:pPr>
              <w:jc w:val="left"/>
              <w:rPr>
                <w:rFonts w:ascii="宋体" w:hAnsi="宋体" w:cs="Arial"/>
              </w:rPr>
            </w:pPr>
          </w:p>
        </w:tc>
      </w:tr>
    </w:tbl>
    <w:p>
      <w:pPr>
        <w:rPr>
          <w:rFonts w:ascii="宋体" w:hAnsi="宋体" w:cs="Arial"/>
        </w:rPr>
      </w:pPr>
      <w:r>
        <w:rPr>
          <w:rFonts w:hint="eastAsia" w:ascii="宋体" w:hAnsi="宋体" w:cs="Arial"/>
        </w:rPr>
        <w:t xml:space="preserve">      </w:t>
      </w:r>
    </w:p>
    <w:p>
      <w:pPr>
        <w:spacing w:line="520" w:lineRule="exact"/>
        <w:rPr>
          <w:rFonts w:ascii="宋体" w:hAnsi="宋体" w:cs="Arial"/>
        </w:rPr>
      </w:pPr>
      <w:r>
        <w:rPr>
          <w:rFonts w:hint="eastAsia" w:ascii="宋体" w:hAnsi="宋体" w:cs="Arial"/>
        </w:rPr>
        <w:t xml:space="preserve"> 注：本表应清楚地标明供应商拟提供的服务或工程费用等内容，其合计价格应与开标一览表中的总报价保持一致。</w:t>
      </w:r>
    </w:p>
    <w:p>
      <w:pPr>
        <w:spacing w:line="520" w:lineRule="exact"/>
        <w:rPr>
          <w:rFonts w:ascii="宋体" w:hAnsi="宋体" w:cs="Arial"/>
        </w:rPr>
      </w:pPr>
    </w:p>
    <w:p>
      <w:pPr>
        <w:spacing w:line="520" w:lineRule="exact"/>
        <w:rPr>
          <w:rFonts w:ascii="宋体" w:hAnsi="宋体" w:cs="Arial"/>
        </w:rPr>
      </w:pPr>
    </w:p>
    <w:p>
      <w:pPr>
        <w:spacing w:line="520" w:lineRule="exact"/>
        <w:rPr>
          <w:rFonts w:ascii="宋体" w:hAnsi="宋体" w:cs="Arial"/>
        </w:rPr>
      </w:pPr>
    </w:p>
    <w:p>
      <w:pPr>
        <w:spacing w:line="520" w:lineRule="exact"/>
        <w:rPr>
          <w:rFonts w:ascii="宋体" w:hAnsi="宋体" w:cs="Arial"/>
        </w:rPr>
      </w:pPr>
    </w:p>
    <w:p>
      <w:pPr>
        <w:spacing w:line="520" w:lineRule="exact"/>
        <w:rPr>
          <w:rFonts w:ascii="宋体" w:hAnsi="宋体" w:cs="Arial"/>
        </w:rPr>
      </w:pPr>
    </w:p>
    <w:p>
      <w:pPr>
        <w:spacing w:line="520" w:lineRule="exact"/>
        <w:rPr>
          <w:rFonts w:ascii="宋体" w:hAnsi="宋体" w:cs="Arial"/>
        </w:rPr>
      </w:pPr>
    </w:p>
    <w:p>
      <w:pPr>
        <w:spacing w:line="520" w:lineRule="exact"/>
        <w:rPr>
          <w:rFonts w:ascii="宋体" w:hAnsi="宋体" w:cs="Arial"/>
        </w:rPr>
      </w:pPr>
    </w:p>
    <w:p>
      <w:pPr>
        <w:pStyle w:val="58"/>
        <w:rPr>
          <w:color w:val="auto"/>
        </w:rPr>
      </w:pPr>
    </w:p>
    <w:p>
      <w:pPr>
        <w:jc w:val="center"/>
        <w:rPr>
          <w:sz w:val="22"/>
        </w:rPr>
      </w:pPr>
      <w:r>
        <w:rPr>
          <w:rFonts w:hint="eastAsia"/>
          <w:sz w:val="22"/>
        </w:rPr>
        <w:t>三、无行贿犯罪承诺函</w:t>
      </w:r>
    </w:p>
    <w:p>
      <w:pPr>
        <w:pStyle w:val="2"/>
        <w:ind w:firstLine="560"/>
      </w:pPr>
    </w:p>
    <w:p>
      <w:pPr>
        <w:spacing w:line="540" w:lineRule="exact"/>
        <w:ind w:firstLine="440" w:firstLineChars="200"/>
        <w:rPr>
          <w:sz w:val="22"/>
        </w:rPr>
      </w:pPr>
      <w:r>
        <w:rPr>
          <w:rFonts w:hint="eastAsia"/>
          <w:sz w:val="22"/>
        </w:rPr>
        <w:t>本人郑重承诺：</w:t>
      </w:r>
    </w:p>
    <w:p>
      <w:pPr>
        <w:spacing w:line="540" w:lineRule="exact"/>
        <w:rPr>
          <w:sz w:val="22"/>
        </w:rPr>
      </w:pPr>
      <w:r>
        <w:rPr>
          <w:rFonts w:hint="eastAsia"/>
          <w:sz w:val="22"/>
        </w:rPr>
        <w:t>本公司、公司法定代表人及拟派</w:t>
      </w:r>
      <w:r>
        <w:rPr>
          <w:rFonts w:hint="eastAsia" w:ascii="宋体" w:hAnsi="宋体"/>
          <w:sz w:val="22"/>
          <w:u w:val="single"/>
        </w:rPr>
        <w:t xml:space="preserve">                           </w:t>
      </w:r>
      <w:r>
        <w:rPr>
          <w:rFonts w:hint="eastAsia"/>
          <w:sz w:val="22"/>
        </w:rPr>
        <w:t>项目的项目负责人均无行贿犯罪行为，愿意接受社会各界监督。本公司、法定代表人及拟派项目负责人若有违反承诺内容的行为，自愿接受取消投标资格、计入信用档案、取消中标资格、没收投标保证金等有关处理，愿意承担法律责任，给招标人造成损失的，依法承担赔偿责任。</w:t>
      </w:r>
    </w:p>
    <w:p>
      <w:pPr>
        <w:pStyle w:val="2"/>
        <w:ind w:firstLine="640"/>
        <w:rPr>
          <w:sz w:val="32"/>
        </w:rPr>
      </w:pPr>
    </w:p>
    <w:p>
      <w:pPr>
        <w:spacing w:line="540" w:lineRule="exact"/>
        <w:ind w:firstLine="5170" w:firstLineChars="2350"/>
        <w:rPr>
          <w:sz w:val="22"/>
        </w:rPr>
      </w:pPr>
      <w:r>
        <w:rPr>
          <w:rFonts w:hint="eastAsia"/>
          <w:sz w:val="22"/>
        </w:rPr>
        <w:t>法定代表人（签字或盖章）：</w:t>
      </w:r>
    </w:p>
    <w:p>
      <w:pPr>
        <w:pStyle w:val="2"/>
        <w:ind w:firstLine="640"/>
        <w:rPr>
          <w:sz w:val="32"/>
        </w:rPr>
      </w:pPr>
    </w:p>
    <w:p>
      <w:pPr>
        <w:spacing w:line="540" w:lineRule="exact"/>
        <w:ind w:firstLine="5280" w:firstLineChars="2400"/>
        <w:rPr>
          <w:sz w:val="22"/>
        </w:rPr>
      </w:pPr>
      <w:r>
        <w:rPr>
          <w:rFonts w:hint="eastAsia"/>
          <w:sz w:val="22"/>
        </w:rPr>
        <w:t>投标人名称（签章）：</w:t>
      </w:r>
    </w:p>
    <w:p>
      <w:pPr>
        <w:pStyle w:val="2"/>
        <w:ind w:firstLine="640"/>
        <w:rPr>
          <w:sz w:val="32"/>
        </w:rPr>
      </w:pPr>
    </w:p>
    <w:p>
      <w:pPr>
        <w:spacing w:line="540" w:lineRule="exact"/>
        <w:ind w:firstLine="6050" w:firstLineChars="2750"/>
        <w:rPr>
          <w:sz w:val="22"/>
        </w:rPr>
      </w:pPr>
      <w:r>
        <w:rPr>
          <w:rFonts w:hint="eastAsia"/>
          <w:sz w:val="22"/>
        </w:rPr>
        <w:t>年   月   日</w:t>
      </w:r>
    </w:p>
    <w:p>
      <w:pPr>
        <w:pStyle w:val="2"/>
        <w:ind w:firstLine="640"/>
        <w:rPr>
          <w:sz w:val="32"/>
        </w:rPr>
      </w:pPr>
    </w:p>
    <w:p>
      <w:pPr>
        <w:pStyle w:val="2"/>
        <w:ind w:firstLine="560"/>
      </w:pPr>
    </w:p>
    <w:p>
      <w:pPr>
        <w:pStyle w:val="2"/>
        <w:ind w:firstLine="560"/>
      </w:pPr>
    </w:p>
    <w:p>
      <w:pPr>
        <w:pStyle w:val="2"/>
        <w:ind w:firstLine="560"/>
      </w:pPr>
    </w:p>
    <w:p>
      <w:pPr>
        <w:pStyle w:val="2"/>
        <w:ind w:firstLine="560"/>
      </w:pPr>
    </w:p>
    <w:p>
      <w:pPr>
        <w:pStyle w:val="2"/>
        <w:ind w:firstLine="560"/>
      </w:pPr>
    </w:p>
    <w:p>
      <w:pPr>
        <w:pStyle w:val="2"/>
        <w:ind w:firstLine="560"/>
      </w:pPr>
    </w:p>
    <w:p>
      <w:pPr>
        <w:jc w:val="center"/>
        <w:rPr>
          <w:rFonts w:ascii="宋体" w:hAnsi="宋体" w:cs="Arial"/>
          <w:sz w:val="32"/>
          <w:szCs w:val="22"/>
        </w:rPr>
      </w:pPr>
    </w:p>
    <w:p>
      <w:pPr>
        <w:jc w:val="center"/>
        <w:rPr>
          <w:rFonts w:ascii="宋体" w:hAnsi="宋体" w:cs="Arial"/>
          <w:sz w:val="32"/>
          <w:szCs w:val="22"/>
        </w:rPr>
      </w:pPr>
      <w:r>
        <w:rPr>
          <w:rFonts w:hint="eastAsia" w:ascii="宋体" w:hAnsi="宋体" w:cs="Arial"/>
          <w:sz w:val="32"/>
          <w:szCs w:val="22"/>
          <w:u w:val="single"/>
        </w:rPr>
        <w:t xml:space="preserve">    </w:t>
      </w:r>
      <w:r>
        <w:rPr>
          <w:rFonts w:hint="eastAsia" w:ascii="宋体" w:hAnsi="宋体" w:cs="Arial"/>
          <w:sz w:val="32"/>
          <w:szCs w:val="22"/>
        </w:rPr>
        <w:t>次报价表</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257" w:type="dxa"/>
            <w:tcBorders>
              <w:top w:val="single" w:color="auto" w:sz="4" w:space="0"/>
              <w:bottom w:val="single" w:color="auto" w:sz="4" w:space="0"/>
              <w:right w:val="single" w:color="auto" w:sz="4" w:space="0"/>
            </w:tcBorders>
            <w:vAlign w:val="center"/>
          </w:tcPr>
          <w:p>
            <w:pPr>
              <w:rPr>
                <w:rFonts w:ascii="宋体" w:hAnsi="宋体" w:cs="Arial"/>
                <w:sz w:val="24"/>
                <w:szCs w:val="24"/>
              </w:rPr>
            </w:pPr>
            <w:r>
              <w:rPr>
                <w:rFonts w:hint="eastAsia" w:ascii="宋体" w:hAnsi="宋体" w:cs="Arial"/>
                <w:sz w:val="24"/>
                <w:szCs w:val="24"/>
              </w:rPr>
              <w:t>项 目 名 称</w:t>
            </w:r>
          </w:p>
        </w:tc>
        <w:tc>
          <w:tcPr>
            <w:tcW w:w="6825" w:type="dxa"/>
            <w:tcBorders>
              <w:top w:val="single" w:color="auto" w:sz="4" w:space="0"/>
              <w:bottom w:val="single" w:color="auto" w:sz="4" w:space="0"/>
              <w:right w:val="single" w:color="auto" w:sz="4" w:space="0"/>
            </w:tcBorders>
            <w:vAlign w:val="center"/>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257" w:type="dxa"/>
            <w:tcBorders>
              <w:top w:val="nil"/>
            </w:tcBorders>
            <w:vAlign w:val="center"/>
          </w:tcPr>
          <w:p>
            <w:pPr>
              <w:rPr>
                <w:rFonts w:ascii="宋体" w:hAnsi="宋体" w:cs="Arial"/>
                <w:sz w:val="24"/>
                <w:szCs w:val="24"/>
              </w:rPr>
            </w:pPr>
            <w:r>
              <w:rPr>
                <w:rFonts w:hint="eastAsia" w:ascii="宋体" w:hAnsi="宋体" w:cs="Arial"/>
                <w:sz w:val="24"/>
                <w:szCs w:val="24"/>
              </w:rPr>
              <w:t>供应商全称</w:t>
            </w:r>
          </w:p>
        </w:tc>
        <w:tc>
          <w:tcPr>
            <w:tcW w:w="6825" w:type="dxa"/>
            <w:tcBorders>
              <w:top w:val="nil"/>
            </w:tcBorders>
            <w:vAlign w:val="center"/>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257" w:type="dxa"/>
            <w:vAlign w:val="center"/>
          </w:tcPr>
          <w:p>
            <w:pPr>
              <w:rPr>
                <w:rFonts w:ascii="宋体" w:hAnsi="宋体" w:cs="Arial"/>
                <w:sz w:val="24"/>
                <w:szCs w:val="24"/>
              </w:rPr>
            </w:pPr>
            <w:r>
              <w:rPr>
                <w:rFonts w:hint="eastAsia" w:ascii="宋体" w:hAnsi="宋体" w:cs="Arial"/>
                <w:sz w:val="24"/>
                <w:szCs w:val="24"/>
              </w:rPr>
              <w:t>磋商范围</w:t>
            </w:r>
          </w:p>
        </w:tc>
        <w:tc>
          <w:tcPr>
            <w:tcW w:w="6825" w:type="dxa"/>
            <w:vAlign w:val="center"/>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2257" w:type="dxa"/>
            <w:vAlign w:val="center"/>
          </w:tcPr>
          <w:p>
            <w:pPr>
              <w:rPr>
                <w:rFonts w:ascii="宋体" w:hAnsi="宋体" w:cs="Arial"/>
                <w:sz w:val="24"/>
                <w:szCs w:val="24"/>
              </w:rPr>
            </w:pPr>
            <w:r>
              <w:rPr>
                <w:rFonts w:hint="eastAsia" w:ascii="宋体" w:hAnsi="宋体" w:cs="Arial"/>
                <w:sz w:val="24"/>
                <w:szCs w:val="24"/>
              </w:rPr>
              <w:t>磋商报价（人民币）</w:t>
            </w:r>
          </w:p>
        </w:tc>
        <w:tc>
          <w:tcPr>
            <w:tcW w:w="6825" w:type="dxa"/>
            <w:vAlign w:val="center"/>
          </w:tcPr>
          <w:p>
            <w:pPr>
              <w:rPr>
                <w:rFonts w:ascii="宋体" w:hAnsi="宋体" w:cs="Arial"/>
                <w:sz w:val="24"/>
                <w:szCs w:val="24"/>
              </w:rPr>
            </w:pPr>
            <w:r>
              <w:rPr>
                <w:rFonts w:hint="eastAsia" w:ascii="宋体" w:hAnsi="宋体" w:cs="Arial"/>
                <w:sz w:val="24"/>
                <w:szCs w:val="24"/>
              </w:rPr>
              <w:t>总价（大写）：</w:t>
            </w:r>
          </w:p>
          <w:p>
            <w:pPr>
              <w:rPr>
                <w:rFonts w:ascii="宋体" w:hAnsi="宋体" w:cs="Arial"/>
                <w:sz w:val="24"/>
                <w:szCs w:val="24"/>
              </w:rPr>
            </w:pPr>
            <w:r>
              <w:rPr>
                <w:rFonts w:hint="eastAsia" w:ascii="宋体" w:hAnsi="宋体" w:cs="Arial"/>
                <w:sz w:val="24"/>
                <w:szCs w:val="24"/>
              </w:rPr>
              <w:t xml:space="preserve">                    </w:t>
            </w:r>
          </w:p>
          <w:p>
            <w:pPr>
              <w:rPr>
                <w:rFonts w:ascii="宋体" w:hAnsi="宋体" w:cs="Arial"/>
                <w:sz w:val="24"/>
                <w:szCs w:val="24"/>
              </w:rPr>
            </w:pPr>
            <w:r>
              <w:rPr>
                <w:rFonts w:hint="eastAsia" w:ascii="宋体" w:hAnsi="宋体" w:cs="Arial"/>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257" w:type="dxa"/>
            <w:vAlign w:val="center"/>
          </w:tcPr>
          <w:p>
            <w:pPr>
              <w:rPr>
                <w:rFonts w:ascii="宋体" w:hAnsi="宋体" w:cs="Arial"/>
                <w:sz w:val="24"/>
                <w:szCs w:val="24"/>
              </w:rPr>
            </w:pPr>
            <w:r>
              <w:rPr>
                <w:rFonts w:hint="eastAsia" w:ascii="宋体" w:hAnsi="宋体" w:cs="Arial"/>
                <w:sz w:val="24"/>
                <w:szCs w:val="24"/>
              </w:rPr>
              <w:t>是否响应磋商文件的要求</w:t>
            </w:r>
          </w:p>
        </w:tc>
        <w:tc>
          <w:tcPr>
            <w:tcW w:w="6825" w:type="dxa"/>
            <w:vAlign w:val="center"/>
          </w:tcPr>
          <w:p>
            <w:pPr>
              <w:rPr>
                <w:rFonts w:ascii="宋体" w:hAnsi="宋体" w:cs="Arial"/>
                <w:sz w:val="24"/>
                <w:szCs w:val="24"/>
              </w:rPr>
            </w:pPr>
            <w:r>
              <w:rPr>
                <w:rFonts w:hint="eastAsia" w:ascii="宋体" w:hAnsi="宋体" w:cs="Arial"/>
                <w:sz w:val="24"/>
                <w:szCs w:val="24"/>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2257" w:type="dxa"/>
            <w:vAlign w:val="center"/>
          </w:tcPr>
          <w:p>
            <w:pPr>
              <w:rPr>
                <w:rFonts w:ascii="宋体" w:hAnsi="宋体" w:cs="Arial"/>
                <w:sz w:val="24"/>
                <w:szCs w:val="24"/>
              </w:rPr>
            </w:pPr>
            <w:r>
              <w:rPr>
                <w:rFonts w:hint="eastAsia" w:ascii="宋体" w:hAnsi="宋体" w:cs="Arial"/>
                <w:sz w:val="24"/>
                <w:szCs w:val="24"/>
              </w:rPr>
              <w:t>备注</w:t>
            </w:r>
          </w:p>
        </w:tc>
        <w:tc>
          <w:tcPr>
            <w:tcW w:w="6825" w:type="dxa"/>
            <w:vAlign w:val="center"/>
          </w:tcPr>
          <w:p>
            <w:pPr>
              <w:rPr>
                <w:rFonts w:ascii="宋体" w:hAnsi="宋体" w:cs="Arial"/>
                <w:sz w:val="24"/>
                <w:szCs w:val="24"/>
              </w:rPr>
            </w:pPr>
          </w:p>
        </w:tc>
      </w:tr>
    </w:tbl>
    <w:p>
      <w:pPr>
        <w:spacing w:line="360" w:lineRule="auto"/>
        <w:rPr>
          <w:rFonts w:ascii="宋体" w:hAnsi="宋体" w:cs="Arial"/>
          <w:sz w:val="24"/>
          <w:szCs w:val="24"/>
        </w:rPr>
      </w:pPr>
    </w:p>
    <w:p>
      <w:pPr>
        <w:spacing w:line="360" w:lineRule="auto"/>
        <w:rPr>
          <w:rFonts w:ascii="宋体" w:hAnsi="宋体" w:cs="Arial"/>
          <w:sz w:val="24"/>
          <w:szCs w:val="24"/>
        </w:rPr>
      </w:pPr>
      <w:r>
        <w:rPr>
          <w:rFonts w:hint="eastAsia" w:ascii="宋体" w:hAnsi="宋体" w:cs="Arial"/>
          <w:sz w:val="24"/>
          <w:szCs w:val="24"/>
        </w:rPr>
        <w:t>供应商：</w:t>
      </w:r>
      <w:r>
        <w:rPr>
          <w:rFonts w:hint="eastAsia" w:ascii="宋体" w:hAnsi="宋体" w:cs="Arial"/>
          <w:sz w:val="24"/>
          <w:szCs w:val="24"/>
          <w:u w:val="single"/>
        </w:rPr>
        <w:t xml:space="preserve">                                </w:t>
      </w:r>
      <w:r>
        <w:rPr>
          <w:rFonts w:hint="eastAsia" w:ascii="宋体" w:hAnsi="宋体" w:cs="Arial"/>
          <w:sz w:val="24"/>
          <w:szCs w:val="24"/>
        </w:rPr>
        <w:t xml:space="preserve">（盖章）                                          </w:t>
      </w:r>
    </w:p>
    <w:p>
      <w:pPr>
        <w:spacing w:line="360" w:lineRule="auto"/>
        <w:rPr>
          <w:rFonts w:ascii="宋体" w:hAnsi="宋体" w:cs="Arial"/>
          <w:sz w:val="24"/>
          <w:szCs w:val="24"/>
        </w:rPr>
      </w:pPr>
      <w:r>
        <w:rPr>
          <w:rFonts w:hint="eastAsia" w:ascii="宋体" w:hAnsi="宋体" w:cs="Arial"/>
          <w:sz w:val="24"/>
          <w:szCs w:val="24"/>
        </w:rPr>
        <w:t>法定代表人或授权委托人：</w:t>
      </w:r>
      <w:r>
        <w:rPr>
          <w:rFonts w:hint="eastAsia" w:ascii="宋体" w:hAnsi="宋体" w:cs="Arial"/>
          <w:sz w:val="24"/>
          <w:szCs w:val="24"/>
          <w:u w:val="single"/>
        </w:rPr>
        <w:t xml:space="preserve">          </w:t>
      </w:r>
      <w:r>
        <w:rPr>
          <w:rFonts w:hint="eastAsia" w:ascii="宋体" w:hAnsi="宋体" w:cs="Arial"/>
          <w:sz w:val="24"/>
          <w:szCs w:val="24"/>
        </w:rPr>
        <w:t xml:space="preserve">（签字或盖章）                      </w:t>
      </w:r>
    </w:p>
    <w:p>
      <w:pPr>
        <w:spacing w:line="360" w:lineRule="auto"/>
        <w:rPr>
          <w:rFonts w:ascii="宋体" w:hAnsi="宋体" w:cs="Arial"/>
          <w:sz w:val="24"/>
          <w:szCs w:val="24"/>
        </w:rPr>
      </w:pPr>
      <w:r>
        <w:rPr>
          <w:rFonts w:hint="eastAsia" w:ascii="宋体" w:hAnsi="宋体" w:cs="Arial"/>
          <w:sz w:val="24"/>
          <w:szCs w:val="24"/>
        </w:rPr>
        <w:t>日期：</w:t>
      </w:r>
      <w:r>
        <w:rPr>
          <w:rFonts w:hint="eastAsia" w:ascii="宋体" w:hAnsi="宋体" w:cs="Arial"/>
          <w:sz w:val="24"/>
          <w:szCs w:val="24"/>
          <w:u w:val="single"/>
        </w:rPr>
        <w:t xml:space="preserve">      </w:t>
      </w:r>
      <w:r>
        <w:rPr>
          <w:rFonts w:hint="eastAsia" w:ascii="宋体" w:hAnsi="宋体" w:cs="Arial"/>
          <w:sz w:val="24"/>
          <w:szCs w:val="24"/>
        </w:rPr>
        <w:t>年</w:t>
      </w:r>
      <w:r>
        <w:rPr>
          <w:rFonts w:hint="eastAsia" w:ascii="宋体" w:hAnsi="宋体" w:cs="Arial"/>
          <w:sz w:val="24"/>
          <w:szCs w:val="24"/>
          <w:u w:val="single"/>
        </w:rPr>
        <w:t xml:space="preserve">      </w:t>
      </w:r>
      <w:r>
        <w:rPr>
          <w:rFonts w:hint="eastAsia" w:ascii="宋体" w:hAnsi="宋体" w:cs="Arial"/>
          <w:sz w:val="24"/>
          <w:szCs w:val="24"/>
        </w:rPr>
        <w:t>月</w:t>
      </w:r>
      <w:r>
        <w:rPr>
          <w:rFonts w:hint="eastAsia" w:ascii="宋体" w:hAnsi="宋体" w:cs="Arial"/>
          <w:sz w:val="24"/>
          <w:szCs w:val="24"/>
          <w:u w:val="single"/>
        </w:rPr>
        <w:t xml:space="preserve">       </w:t>
      </w:r>
      <w:r>
        <w:rPr>
          <w:rFonts w:hint="eastAsia" w:ascii="宋体" w:hAnsi="宋体" w:cs="Arial"/>
          <w:sz w:val="24"/>
          <w:szCs w:val="24"/>
        </w:rPr>
        <w:t>日</w:t>
      </w:r>
    </w:p>
    <w:p>
      <w:pPr>
        <w:spacing w:line="360" w:lineRule="auto"/>
        <w:rPr>
          <w:rFonts w:ascii="宋体" w:hAnsi="宋体" w:cs="Arial"/>
          <w:sz w:val="24"/>
          <w:szCs w:val="24"/>
        </w:rPr>
      </w:pPr>
    </w:p>
    <w:p>
      <w:pPr>
        <w:spacing w:line="360" w:lineRule="auto"/>
        <w:rPr>
          <w:rFonts w:ascii="仿宋_GB2312" w:hAnsi="仿宋" w:eastAsia="仿宋_GB2312"/>
          <w:b/>
          <w:bCs/>
          <w:szCs w:val="28"/>
        </w:rPr>
      </w:pPr>
      <w:r>
        <w:rPr>
          <w:rFonts w:hint="eastAsia" w:ascii="宋体" w:hAnsi="宋体" w:cs="Arial"/>
          <w:b/>
          <w:bCs/>
          <w:sz w:val="24"/>
          <w:szCs w:val="24"/>
        </w:rPr>
        <w:t>本表不需装订在响应文件中，请各供应商加盖单位公章后携带空白表格至磋商现场，由授权代表人现场填写后提交。</w:t>
      </w:r>
    </w:p>
    <w:p>
      <w:pPr>
        <w:spacing w:line="360" w:lineRule="auto"/>
        <w:rPr>
          <w:rFonts w:ascii="仿宋" w:hAnsi="仿宋" w:eastAsia="仿宋"/>
          <w:szCs w:val="28"/>
        </w:rPr>
      </w:pPr>
    </w:p>
    <w:p/>
    <w:p>
      <w:pPr>
        <w:pStyle w:val="2"/>
        <w:ind w:firstLine="560"/>
      </w:pPr>
    </w:p>
    <w:p>
      <w:pPr>
        <w:pStyle w:val="2"/>
        <w:ind w:firstLine="560"/>
      </w:pPr>
    </w:p>
    <w:p>
      <w:pPr>
        <w:pStyle w:val="2"/>
        <w:ind w:firstLine="560"/>
      </w:pPr>
    </w:p>
    <w:p>
      <w:pPr>
        <w:pStyle w:val="2"/>
        <w:ind w:firstLine="560"/>
      </w:pPr>
    </w:p>
    <w:p>
      <w:pPr>
        <w:pStyle w:val="2"/>
        <w:ind w:firstLine="560"/>
      </w:pPr>
    </w:p>
    <w:p>
      <w:pPr>
        <w:jc w:val="center"/>
        <w:rPr>
          <w:rFonts w:ascii="宋体" w:hAnsi="宋体" w:cs="Arial"/>
          <w:sz w:val="32"/>
          <w:szCs w:val="22"/>
        </w:rPr>
      </w:pPr>
      <w:r>
        <w:rPr>
          <w:rFonts w:hint="eastAsia" w:ascii="宋体" w:hAnsi="宋体" w:cs="Arial"/>
          <w:sz w:val="32"/>
          <w:szCs w:val="22"/>
        </w:rPr>
        <w:t>最终报价表</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257" w:type="dxa"/>
            <w:tcBorders>
              <w:top w:val="single" w:color="auto" w:sz="4" w:space="0"/>
              <w:bottom w:val="single" w:color="auto" w:sz="4" w:space="0"/>
              <w:right w:val="single" w:color="auto" w:sz="4" w:space="0"/>
            </w:tcBorders>
            <w:vAlign w:val="center"/>
          </w:tcPr>
          <w:p>
            <w:pPr>
              <w:rPr>
                <w:rFonts w:ascii="宋体" w:hAnsi="宋体" w:cs="Arial"/>
                <w:sz w:val="24"/>
                <w:szCs w:val="24"/>
              </w:rPr>
            </w:pPr>
            <w:r>
              <w:rPr>
                <w:rFonts w:hint="eastAsia" w:ascii="宋体" w:hAnsi="宋体" w:cs="Arial"/>
                <w:sz w:val="24"/>
                <w:szCs w:val="24"/>
              </w:rPr>
              <w:t>项 目 名 称</w:t>
            </w:r>
          </w:p>
        </w:tc>
        <w:tc>
          <w:tcPr>
            <w:tcW w:w="6825" w:type="dxa"/>
            <w:tcBorders>
              <w:top w:val="single" w:color="auto" w:sz="4" w:space="0"/>
              <w:bottom w:val="single" w:color="auto" w:sz="4" w:space="0"/>
              <w:right w:val="single" w:color="auto" w:sz="4" w:space="0"/>
            </w:tcBorders>
            <w:vAlign w:val="center"/>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2257" w:type="dxa"/>
            <w:tcBorders>
              <w:top w:val="nil"/>
            </w:tcBorders>
            <w:vAlign w:val="center"/>
          </w:tcPr>
          <w:p>
            <w:pPr>
              <w:rPr>
                <w:rFonts w:ascii="宋体" w:hAnsi="宋体" w:cs="Arial"/>
                <w:sz w:val="24"/>
                <w:szCs w:val="24"/>
              </w:rPr>
            </w:pPr>
            <w:r>
              <w:rPr>
                <w:rFonts w:hint="eastAsia" w:ascii="宋体" w:hAnsi="宋体" w:cs="Arial"/>
                <w:sz w:val="24"/>
                <w:szCs w:val="24"/>
              </w:rPr>
              <w:t>供应商全称</w:t>
            </w:r>
          </w:p>
        </w:tc>
        <w:tc>
          <w:tcPr>
            <w:tcW w:w="6825" w:type="dxa"/>
            <w:tcBorders>
              <w:top w:val="nil"/>
            </w:tcBorders>
            <w:vAlign w:val="center"/>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257" w:type="dxa"/>
            <w:vAlign w:val="center"/>
          </w:tcPr>
          <w:p>
            <w:pPr>
              <w:rPr>
                <w:rFonts w:ascii="宋体" w:hAnsi="宋体" w:cs="Arial"/>
                <w:sz w:val="24"/>
                <w:szCs w:val="24"/>
              </w:rPr>
            </w:pPr>
            <w:r>
              <w:rPr>
                <w:rFonts w:hint="eastAsia" w:ascii="宋体" w:hAnsi="宋体" w:cs="Arial"/>
                <w:sz w:val="24"/>
                <w:szCs w:val="24"/>
              </w:rPr>
              <w:t>磋商范围</w:t>
            </w:r>
          </w:p>
        </w:tc>
        <w:tc>
          <w:tcPr>
            <w:tcW w:w="6825" w:type="dxa"/>
            <w:vAlign w:val="center"/>
          </w:tcPr>
          <w:p>
            <w:pPr>
              <w:rPr>
                <w:rFonts w:ascii="宋体" w:hAnsi="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2257" w:type="dxa"/>
            <w:vAlign w:val="center"/>
          </w:tcPr>
          <w:p>
            <w:pPr>
              <w:rPr>
                <w:rFonts w:ascii="宋体" w:hAnsi="宋体" w:cs="Arial"/>
                <w:sz w:val="24"/>
                <w:szCs w:val="24"/>
              </w:rPr>
            </w:pPr>
            <w:r>
              <w:rPr>
                <w:rFonts w:hint="eastAsia" w:ascii="宋体" w:hAnsi="宋体" w:cs="Arial"/>
                <w:sz w:val="24"/>
                <w:szCs w:val="24"/>
              </w:rPr>
              <w:t>磋商报价（人民币）</w:t>
            </w:r>
          </w:p>
        </w:tc>
        <w:tc>
          <w:tcPr>
            <w:tcW w:w="6825" w:type="dxa"/>
            <w:vAlign w:val="center"/>
          </w:tcPr>
          <w:p>
            <w:pPr>
              <w:rPr>
                <w:rFonts w:ascii="宋体" w:hAnsi="宋体" w:cs="Arial"/>
                <w:sz w:val="24"/>
                <w:szCs w:val="24"/>
              </w:rPr>
            </w:pPr>
            <w:r>
              <w:rPr>
                <w:rFonts w:hint="eastAsia" w:ascii="宋体" w:hAnsi="宋体" w:cs="Arial"/>
                <w:sz w:val="24"/>
                <w:szCs w:val="24"/>
              </w:rPr>
              <w:t>总价（大写）：</w:t>
            </w:r>
          </w:p>
          <w:p>
            <w:pPr>
              <w:rPr>
                <w:rFonts w:ascii="宋体" w:hAnsi="宋体" w:cs="Arial"/>
                <w:sz w:val="24"/>
                <w:szCs w:val="24"/>
              </w:rPr>
            </w:pPr>
            <w:r>
              <w:rPr>
                <w:rFonts w:hint="eastAsia" w:ascii="宋体" w:hAnsi="宋体" w:cs="Arial"/>
                <w:sz w:val="24"/>
                <w:szCs w:val="24"/>
              </w:rPr>
              <w:t xml:space="preserve">                    </w:t>
            </w:r>
          </w:p>
          <w:p>
            <w:pPr>
              <w:rPr>
                <w:rFonts w:ascii="宋体" w:hAnsi="宋体" w:cs="Arial"/>
                <w:sz w:val="24"/>
                <w:szCs w:val="24"/>
              </w:rPr>
            </w:pPr>
            <w:r>
              <w:rPr>
                <w:rFonts w:hint="eastAsia" w:ascii="宋体" w:hAnsi="宋体" w:cs="Arial"/>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257" w:type="dxa"/>
            <w:vAlign w:val="center"/>
          </w:tcPr>
          <w:p>
            <w:pPr>
              <w:rPr>
                <w:rFonts w:ascii="宋体" w:hAnsi="宋体" w:cs="Arial"/>
                <w:sz w:val="24"/>
                <w:szCs w:val="24"/>
              </w:rPr>
            </w:pPr>
            <w:r>
              <w:rPr>
                <w:rFonts w:hint="eastAsia" w:ascii="宋体" w:hAnsi="宋体" w:cs="Arial"/>
                <w:sz w:val="24"/>
                <w:szCs w:val="24"/>
              </w:rPr>
              <w:t>是否响应磋商文件的要求</w:t>
            </w:r>
          </w:p>
        </w:tc>
        <w:tc>
          <w:tcPr>
            <w:tcW w:w="6825" w:type="dxa"/>
            <w:vAlign w:val="center"/>
          </w:tcPr>
          <w:p>
            <w:pPr>
              <w:rPr>
                <w:rFonts w:ascii="宋体" w:hAnsi="宋体" w:cs="Arial"/>
                <w:sz w:val="24"/>
                <w:szCs w:val="24"/>
              </w:rPr>
            </w:pPr>
            <w:r>
              <w:rPr>
                <w:rFonts w:hint="eastAsia" w:ascii="宋体" w:hAnsi="宋体" w:cs="Arial"/>
                <w:sz w:val="24"/>
                <w:szCs w:val="24"/>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2257" w:type="dxa"/>
            <w:vAlign w:val="center"/>
          </w:tcPr>
          <w:p>
            <w:pPr>
              <w:rPr>
                <w:rFonts w:ascii="宋体" w:hAnsi="宋体" w:cs="Arial"/>
                <w:sz w:val="24"/>
                <w:szCs w:val="24"/>
              </w:rPr>
            </w:pPr>
            <w:r>
              <w:rPr>
                <w:rFonts w:hint="eastAsia" w:ascii="宋体" w:hAnsi="宋体" w:cs="Arial"/>
                <w:sz w:val="24"/>
                <w:szCs w:val="24"/>
              </w:rPr>
              <w:t>备注</w:t>
            </w:r>
          </w:p>
        </w:tc>
        <w:tc>
          <w:tcPr>
            <w:tcW w:w="6825" w:type="dxa"/>
            <w:vAlign w:val="center"/>
          </w:tcPr>
          <w:p>
            <w:pPr>
              <w:rPr>
                <w:rFonts w:ascii="宋体" w:hAnsi="宋体" w:cs="Arial"/>
                <w:sz w:val="24"/>
                <w:szCs w:val="24"/>
              </w:rPr>
            </w:pPr>
          </w:p>
        </w:tc>
      </w:tr>
    </w:tbl>
    <w:p>
      <w:pPr>
        <w:spacing w:line="360" w:lineRule="auto"/>
        <w:rPr>
          <w:rFonts w:ascii="宋体" w:hAnsi="宋体" w:cs="Arial"/>
          <w:sz w:val="24"/>
          <w:szCs w:val="24"/>
        </w:rPr>
      </w:pPr>
    </w:p>
    <w:p>
      <w:pPr>
        <w:spacing w:line="360" w:lineRule="auto"/>
        <w:rPr>
          <w:rFonts w:ascii="宋体" w:hAnsi="宋体" w:cs="Arial"/>
          <w:sz w:val="24"/>
          <w:szCs w:val="24"/>
        </w:rPr>
      </w:pPr>
      <w:r>
        <w:rPr>
          <w:rFonts w:hint="eastAsia" w:ascii="宋体" w:hAnsi="宋体" w:cs="Arial"/>
          <w:sz w:val="24"/>
          <w:szCs w:val="24"/>
        </w:rPr>
        <w:t>供应商：</w:t>
      </w:r>
      <w:r>
        <w:rPr>
          <w:rFonts w:hint="eastAsia" w:ascii="宋体" w:hAnsi="宋体" w:cs="Arial"/>
          <w:sz w:val="24"/>
          <w:szCs w:val="24"/>
          <w:u w:val="single"/>
        </w:rPr>
        <w:t xml:space="preserve">                                </w:t>
      </w:r>
      <w:r>
        <w:rPr>
          <w:rFonts w:hint="eastAsia" w:ascii="宋体" w:hAnsi="宋体" w:cs="Arial"/>
          <w:sz w:val="24"/>
          <w:szCs w:val="24"/>
        </w:rPr>
        <w:t xml:space="preserve">（盖章）                                          </w:t>
      </w:r>
    </w:p>
    <w:p>
      <w:pPr>
        <w:spacing w:line="360" w:lineRule="auto"/>
        <w:rPr>
          <w:rFonts w:ascii="宋体" w:hAnsi="宋体" w:cs="Arial"/>
          <w:sz w:val="24"/>
          <w:szCs w:val="24"/>
        </w:rPr>
      </w:pPr>
      <w:r>
        <w:rPr>
          <w:rFonts w:hint="eastAsia" w:ascii="宋体" w:hAnsi="宋体" w:cs="Arial"/>
          <w:sz w:val="24"/>
          <w:szCs w:val="24"/>
        </w:rPr>
        <w:t>法定代表人或授权委托人：</w:t>
      </w:r>
      <w:r>
        <w:rPr>
          <w:rFonts w:hint="eastAsia" w:ascii="宋体" w:hAnsi="宋体" w:cs="Arial"/>
          <w:sz w:val="24"/>
          <w:szCs w:val="24"/>
          <w:u w:val="single"/>
        </w:rPr>
        <w:t xml:space="preserve">          </w:t>
      </w:r>
      <w:r>
        <w:rPr>
          <w:rFonts w:hint="eastAsia" w:ascii="宋体" w:hAnsi="宋体" w:cs="Arial"/>
          <w:sz w:val="24"/>
          <w:szCs w:val="24"/>
        </w:rPr>
        <w:t xml:space="preserve">（签字或盖章）                      </w:t>
      </w:r>
    </w:p>
    <w:p>
      <w:pPr>
        <w:spacing w:line="360" w:lineRule="auto"/>
        <w:rPr>
          <w:rFonts w:ascii="宋体" w:hAnsi="宋体" w:cs="Arial"/>
          <w:sz w:val="24"/>
          <w:szCs w:val="24"/>
        </w:rPr>
      </w:pPr>
      <w:r>
        <w:rPr>
          <w:rFonts w:hint="eastAsia" w:ascii="宋体" w:hAnsi="宋体" w:cs="Arial"/>
          <w:sz w:val="24"/>
          <w:szCs w:val="24"/>
        </w:rPr>
        <w:t>日期：</w:t>
      </w:r>
      <w:r>
        <w:rPr>
          <w:rFonts w:hint="eastAsia" w:ascii="宋体" w:hAnsi="宋体" w:cs="Arial"/>
          <w:sz w:val="24"/>
          <w:szCs w:val="24"/>
          <w:u w:val="single"/>
        </w:rPr>
        <w:t xml:space="preserve">      </w:t>
      </w:r>
      <w:r>
        <w:rPr>
          <w:rFonts w:hint="eastAsia" w:ascii="宋体" w:hAnsi="宋体" w:cs="Arial"/>
          <w:sz w:val="24"/>
          <w:szCs w:val="24"/>
        </w:rPr>
        <w:t>年</w:t>
      </w:r>
      <w:r>
        <w:rPr>
          <w:rFonts w:hint="eastAsia" w:ascii="宋体" w:hAnsi="宋体" w:cs="Arial"/>
          <w:sz w:val="24"/>
          <w:szCs w:val="24"/>
          <w:u w:val="single"/>
        </w:rPr>
        <w:t xml:space="preserve">      </w:t>
      </w:r>
      <w:r>
        <w:rPr>
          <w:rFonts w:hint="eastAsia" w:ascii="宋体" w:hAnsi="宋体" w:cs="Arial"/>
          <w:sz w:val="24"/>
          <w:szCs w:val="24"/>
        </w:rPr>
        <w:t>月</w:t>
      </w:r>
      <w:r>
        <w:rPr>
          <w:rFonts w:hint="eastAsia" w:ascii="宋体" w:hAnsi="宋体" w:cs="Arial"/>
          <w:sz w:val="24"/>
          <w:szCs w:val="24"/>
          <w:u w:val="single"/>
        </w:rPr>
        <w:t xml:space="preserve">       </w:t>
      </w:r>
      <w:r>
        <w:rPr>
          <w:rFonts w:hint="eastAsia" w:ascii="宋体" w:hAnsi="宋体" w:cs="Arial"/>
          <w:sz w:val="24"/>
          <w:szCs w:val="24"/>
        </w:rPr>
        <w:t>日</w:t>
      </w:r>
    </w:p>
    <w:p>
      <w:pPr>
        <w:spacing w:line="360" w:lineRule="auto"/>
        <w:rPr>
          <w:rFonts w:ascii="宋体" w:hAnsi="宋体" w:cs="Arial"/>
          <w:sz w:val="24"/>
          <w:szCs w:val="24"/>
        </w:rPr>
      </w:pPr>
    </w:p>
    <w:p>
      <w:pPr>
        <w:spacing w:line="360" w:lineRule="auto"/>
        <w:rPr>
          <w:rFonts w:ascii="仿宋_GB2312" w:hAnsi="仿宋" w:eastAsia="仿宋_GB2312"/>
          <w:b/>
          <w:bCs/>
          <w:szCs w:val="28"/>
        </w:rPr>
      </w:pPr>
      <w:r>
        <w:rPr>
          <w:rFonts w:hint="eastAsia" w:ascii="宋体" w:hAnsi="宋体" w:cs="Arial"/>
          <w:b/>
          <w:bCs/>
          <w:sz w:val="24"/>
          <w:szCs w:val="24"/>
        </w:rPr>
        <w:t>本表不需装订在响应文件中，请各供应商加盖单位公章后携带空白表格至磋商现场，由授权代表人现场填写后提交。</w:t>
      </w:r>
    </w:p>
    <w:p>
      <w:pPr>
        <w:pStyle w:val="2"/>
        <w:ind w:firstLine="560"/>
      </w:pPr>
    </w:p>
    <w:p/>
    <w:sectPr>
      <w:footerReference r:id="rId3"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1663"/>
    <w:multiLevelType w:val="multilevel"/>
    <w:tmpl w:val="0D371663"/>
    <w:lvl w:ilvl="0" w:tentative="0">
      <w:start w:val="1"/>
      <w:numFmt w:val="japaneseCounting"/>
      <w:lvlText w:val="（%1）"/>
      <w:lvlJc w:val="left"/>
      <w:pPr>
        <w:ind w:left="720" w:hanging="720"/>
      </w:pPr>
      <w:rPr>
        <w:rFonts w:hint="default" w:ascii="Times New Roman" w:hAnsi="Times New Roman" w:cs="Times New Roman"/>
      </w:rPr>
    </w:lvl>
    <w:lvl w:ilvl="1" w:tentative="0">
      <w:start w:val="10"/>
      <w:numFmt w:val="decimal"/>
      <w:lvlText w:val="%2、"/>
      <w:lvlJc w:val="left"/>
      <w:pPr>
        <w:ind w:left="876" w:hanging="456"/>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1ACBB027"/>
    <w:multiLevelType w:val="singleLevel"/>
    <w:tmpl w:val="1ACBB027"/>
    <w:lvl w:ilvl="0" w:tentative="0">
      <w:start w:val="4"/>
      <w:numFmt w:val="decimal"/>
      <w:suff w:val="nothing"/>
      <w:lvlText w:val="%1、"/>
      <w:lvlJc w:val="left"/>
      <w:pPr>
        <w:ind w:left="525" w:firstLine="0"/>
      </w:pPr>
    </w:lvl>
  </w:abstractNum>
  <w:abstractNum w:abstractNumId="2">
    <w:nsid w:val="39581245"/>
    <w:multiLevelType w:val="multilevel"/>
    <w:tmpl w:val="39581245"/>
    <w:lvl w:ilvl="0" w:tentative="0">
      <w:start w:val="27"/>
      <w:numFmt w:val="decimal"/>
      <w:lvlText w:val="%1、"/>
      <w:lvlJc w:val="left"/>
      <w:pPr>
        <w:ind w:left="1088" w:hanging="456"/>
      </w:pPr>
      <w:rPr>
        <w:rFonts w:hint="default" w:ascii="Times New Roman" w:hAnsi="Times New Roman" w:cs="Times New Roman"/>
      </w:rPr>
    </w:lvl>
    <w:lvl w:ilvl="1" w:tentative="0">
      <w:start w:val="1"/>
      <w:numFmt w:val="lowerLetter"/>
      <w:lvlText w:val="%2)"/>
      <w:lvlJc w:val="left"/>
      <w:pPr>
        <w:ind w:left="1472" w:hanging="420"/>
      </w:pPr>
      <w:rPr>
        <w:rFonts w:hint="default" w:ascii="Times New Roman" w:hAnsi="Times New Roman" w:cs="Times New Roman"/>
      </w:rPr>
    </w:lvl>
    <w:lvl w:ilvl="2" w:tentative="0">
      <w:start w:val="1"/>
      <w:numFmt w:val="lowerRoman"/>
      <w:lvlText w:val="%3."/>
      <w:lvlJc w:val="right"/>
      <w:pPr>
        <w:ind w:left="1892" w:hanging="420"/>
      </w:pPr>
      <w:rPr>
        <w:rFonts w:hint="default" w:ascii="Times New Roman" w:hAnsi="Times New Roman" w:cs="Times New Roman"/>
      </w:rPr>
    </w:lvl>
    <w:lvl w:ilvl="3" w:tentative="0">
      <w:start w:val="1"/>
      <w:numFmt w:val="decimal"/>
      <w:lvlText w:val="%4."/>
      <w:lvlJc w:val="left"/>
      <w:pPr>
        <w:ind w:left="2312" w:hanging="420"/>
      </w:pPr>
      <w:rPr>
        <w:rFonts w:hint="default" w:ascii="Times New Roman" w:hAnsi="Times New Roman" w:cs="Times New Roman"/>
      </w:rPr>
    </w:lvl>
    <w:lvl w:ilvl="4" w:tentative="0">
      <w:start w:val="1"/>
      <w:numFmt w:val="lowerLetter"/>
      <w:lvlText w:val="%5)"/>
      <w:lvlJc w:val="left"/>
      <w:pPr>
        <w:ind w:left="2732" w:hanging="420"/>
      </w:pPr>
      <w:rPr>
        <w:rFonts w:hint="default" w:ascii="Times New Roman" w:hAnsi="Times New Roman" w:cs="Times New Roman"/>
      </w:rPr>
    </w:lvl>
    <w:lvl w:ilvl="5" w:tentative="0">
      <w:start w:val="1"/>
      <w:numFmt w:val="lowerRoman"/>
      <w:lvlText w:val="%6."/>
      <w:lvlJc w:val="right"/>
      <w:pPr>
        <w:ind w:left="3152" w:hanging="420"/>
      </w:pPr>
      <w:rPr>
        <w:rFonts w:hint="default" w:ascii="Times New Roman" w:hAnsi="Times New Roman" w:cs="Times New Roman"/>
      </w:rPr>
    </w:lvl>
    <w:lvl w:ilvl="6" w:tentative="0">
      <w:start w:val="1"/>
      <w:numFmt w:val="decimal"/>
      <w:lvlText w:val="%7."/>
      <w:lvlJc w:val="left"/>
      <w:pPr>
        <w:ind w:left="3572" w:hanging="420"/>
      </w:pPr>
      <w:rPr>
        <w:rFonts w:hint="default" w:ascii="Times New Roman" w:hAnsi="Times New Roman" w:cs="Times New Roman"/>
      </w:rPr>
    </w:lvl>
    <w:lvl w:ilvl="7" w:tentative="0">
      <w:start w:val="1"/>
      <w:numFmt w:val="lowerLetter"/>
      <w:lvlText w:val="%8)"/>
      <w:lvlJc w:val="left"/>
      <w:pPr>
        <w:ind w:left="3992" w:hanging="420"/>
      </w:pPr>
      <w:rPr>
        <w:rFonts w:hint="default" w:ascii="Times New Roman" w:hAnsi="Times New Roman" w:cs="Times New Roman"/>
      </w:rPr>
    </w:lvl>
    <w:lvl w:ilvl="8" w:tentative="0">
      <w:start w:val="1"/>
      <w:numFmt w:val="lowerRoman"/>
      <w:lvlText w:val="%9."/>
      <w:lvlJc w:val="right"/>
      <w:pPr>
        <w:ind w:left="4412" w:hanging="420"/>
      </w:pPr>
      <w:rPr>
        <w:rFonts w:hint="default" w:ascii="Times New Roman" w:hAnsi="Times New Roman" w:cs="Times New Roman"/>
      </w:rPr>
    </w:lvl>
  </w:abstractNum>
  <w:abstractNum w:abstractNumId="3">
    <w:nsid w:val="3A1508B3"/>
    <w:multiLevelType w:val="multilevel"/>
    <w:tmpl w:val="3A1508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C437A2"/>
    <w:multiLevelType w:val="multilevel"/>
    <w:tmpl w:val="3EC437A2"/>
    <w:lvl w:ilvl="0" w:tentative="0">
      <w:start w:val="1"/>
      <w:numFmt w:val="japaneseCounting"/>
      <w:lvlText w:val="（%1）"/>
      <w:lvlJc w:val="left"/>
      <w:pPr>
        <w:ind w:left="915" w:hanging="720"/>
      </w:pPr>
      <w:rPr>
        <w:rFonts w:hint="default" w:ascii="Times New Roman" w:hAnsi="Times New Roman" w:cs="Times New Roman"/>
        <w:b w:val="0"/>
        <w:bCs w:val="0"/>
      </w:rPr>
    </w:lvl>
    <w:lvl w:ilvl="1" w:tentative="0">
      <w:start w:val="1"/>
      <w:numFmt w:val="lowerLetter"/>
      <w:lvlText w:val="%2)"/>
      <w:lvlJc w:val="left"/>
      <w:pPr>
        <w:ind w:left="1035" w:hanging="420"/>
      </w:pPr>
      <w:rPr>
        <w:rFonts w:hint="default" w:ascii="Times New Roman" w:hAnsi="Times New Roman" w:cs="Times New Roman"/>
      </w:rPr>
    </w:lvl>
    <w:lvl w:ilvl="2" w:tentative="0">
      <w:start w:val="1"/>
      <w:numFmt w:val="lowerRoman"/>
      <w:lvlText w:val="%3."/>
      <w:lvlJc w:val="right"/>
      <w:pPr>
        <w:ind w:left="1455" w:hanging="420"/>
      </w:pPr>
      <w:rPr>
        <w:rFonts w:hint="default" w:ascii="Times New Roman" w:hAnsi="Times New Roman" w:cs="Times New Roman"/>
      </w:rPr>
    </w:lvl>
    <w:lvl w:ilvl="3" w:tentative="0">
      <w:start w:val="1"/>
      <w:numFmt w:val="decimal"/>
      <w:lvlText w:val="%4."/>
      <w:lvlJc w:val="left"/>
      <w:pPr>
        <w:ind w:left="1875" w:hanging="420"/>
      </w:pPr>
      <w:rPr>
        <w:rFonts w:hint="default" w:ascii="Times New Roman" w:hAnsi="Times New Roman" w:cs="Times New Roman"/>
      </w:rPr>
    </w:lvl>
    <w:lvl w:ilvl="4" w:tentative="0">
      <w:start w:val="1"/>
      <w:numFmt w:val="lowerLetter"/>
      <w:lvlText w:val="%5)"/>
      <w:lvlJc w:val="left"/>
      <w:pPr>
        <w:ind w:left="2295" w:hanging="420"/>
      </w:pPr>
      <w:rPr>
        <w:rFonts w:hint="default" w:ascii="Times New Roman" w:hAnsi="Times New Roman" w:cs="Times New Roman"/>
      </w:rPr>
    </w:lvl>
    <w:lvl w:ilvl="5" w:tentative="0">
      <w:start w:val="1"/>
      <w:numFmt w:val="lowerRoman"/>
      <w:lvlText w:val="%6."/>
      <w:lvlJc w:val="right"/>
      <w:pPr>
        <w:ind w:left="2715" w:hanging="420"/>
      </w:pPr>
      <w:rPr>
        <w:rFonts w:hint="default" w:ascii="Times New Roman" w:hAnsi="Times New Roman" w:cs="Times New Roman"/>
      </w:rPr>
    </w:lvl>
    <w:lvl w:ilvl="6" w:tentative="0">
      <w:start w:val="1"/>
      <w:numFmt w:val="decimal"/>
      <w:lvlText w:val="%7."/>
      <w:lvlJc w:val="left"/>
      <w:pPr>
        <w:ind w:left="3135" w:hanging="420"/>
      </w:pPr>
      <w:rPr>
        <w:rFonts w:hint="default" w:ascii="Times New Roman" w:hAnsi="Times New Roman" w:cs="Times New Roman"/>
      </w:rPr>
    </w:lvl>
    <w:lvl w:ilvl="7" w:tentative="0">
      <w:start w:val="1"/>
      <w:numFmt w:val="lowerLetter"/>
      <w:lvlText w:val="%8)"/>
      <w:lvlJc w:val="left"/>
      <w:pPr>
        <w:ind w:left="3555" w:hanging="420"/>
      </w:pPr>
      <w:rPr>
        <w:rFonts w:hint="default" w:ascii="Times New Roman" w:hAnsi="Times New Roman" w:cs="Times New Roman"/>
      </w:rPr>
    </w:lvl>
    <w:lvl w:ilvl="8" w:tentative="0">
      <w:start w:val="1"/>
      <w:numFmt w:val="lowerRoman"/>
      <w:lvlText w:val="%9."/>
      <w:lvlJc w:val="right"/>
      <w:pPr>
        <w:ind w:left="3975" w:hanging="420"/>
      </w:pPr>
      <w:rPr>
        <w:rFonts w:hint="default" w:ascii="Times New Roman" w:hAnsi="Times New Roman" w:cs="Times New Roman"/>
      </w:rPr>
    </w:lvl>
  </w:abstractNum>
  <w:abstractNum w:abstractNumId="5">
    <w:nsid w:val="46A600C6"/>
    <w:multiLevelType w:val="multilevel"/>
    <w:tmpl w:val="46A600C6"/>
    <w:lvl w:ilvl="0" w:tentative="0">
      <w:start w:val="1"/>
      <w:numFmt w:val="decimal"/>
      <w:lvlText w:val="%1、"/>
      <w:lvlJc w:val="left"/>
      <w:pPr>
        <w:ind w:left="786" w:hanging="360"/>
      </w:pPr>
      <w:rPr>
        <w:rFonts w:hint="default" w:ascii="Times New Roman" w:hAnsi="Times New Roman" w:cs="Times New Roman"/>
      </w:rPr>
    </w:lvl>
    <w:lvl w:ilvl="1" w:tentative="0">
      <w:start w:val="1"/>
      <w:numFmt w:val="lowerLetter"/>
      <w:lvlText w:val="%2)"/>
      <w:lvlJc w:val="left"/>
      <w:pPr>
        <w:ind w:left="1253" w:hanging="420"/>
      </w:pPr>
      <w:rPr>
        <w:rFonts w:hint="default" w:ascii="Times New Roman" w:hAnsi="Times New Roman" w:cs="Times New Roman"/>
      </w:rPr>
    </w:lvl>
    <w:lvl w:ilvl="2" w:tentative="0">
      <w:start w:val="1"/>
      <w:numFmt w:val="lowerRoman"/>
      <w:lvlText w:val="%3."/>
      <w:lvlJc w:val="right"/>
      <w:pPr>
        <w:ind w:left="1673" w:hanging="420"/>
      </w:pPr>
      <w:rPr>
        <w:rFonts w:hint="default" w:ascii="Times New Roman" w:hAnsi="Times New Roman" w:cs="Times New Roman"/>
      </w:rPr>
    </w:lvl>
    <w:lvl w:ilvl="3" w:tentative="0">
      <w:start w:val="1"/>
      <w:numFmt w:val="decimal"/>
      <w:lvlText w:val="%4."/>
      <w:lvlJc w:val="left"/>
      <w:pPr>
        <w:ind w:left="2093" w:hanging="420"/>
      </w:pPr>
      <w:rPr>
        <w:rFonts w:hint="default" w:ascii="Times New Roman" w:hAnsi="Times New Roman" w:cs="Times New Roman"/>
      </w:rPr>
    </w:lvl>
    <w:lvl w:ilvl="4" w:tentative="0">
      <w:start w:val="1"/>
      <w:numFmt w:val="lowerLetter"/>
      <w:lvlText w:val="%5)"/>
      <w:lvlJc w:val="left"/>
      <w:pPr>
        <w:ind w:left="2513" w:hanging="420"/>
      </w:pPr>
      <w:rPr>
        <w:rFonts w:hint="default" w:ascii="Times New Roman" w:hAnsi="Times New Roman" w:cs="Times New Roman"/>
      </w:rPr>
    </w:lvl>
    <w:lvl w:ilvl="5" w:tentative="0">
      <w:start w:val="1"/>
      <w:numFmt w:val="lowerRoman"/>
      <w:lvlText w:val="%6."/>
      <w:lvlJc w:val="right"/>
      <w:pPr>
        <w:ind w:left="2933" w:hanging="420"/>
      </w:pPr>
      <w:rPr>
        <w:rFonts w:hint="default" w:ascii="Times New Roman" w:hAnsi="Times New Roman" w:cs="Times New Roman"/>
      </w:rPr>
    </w:lvl>
    <w:lvl w:ilvl="6" w:tentative="0">
      <w:start w:val="1"/>
      <w:numFmt w:val="decimal"/>
      <w:lvlText w:val="%7."/>
      <w:lvlJc w:val="left"/>
      <w:pPr>
        <w:ind w:left="3353" w:hanging="420"/>
      </w:pPr>
      <w:rPr>
        <w:rFonts w:hint="default" w:ascii="Times New Roman" w:hAnsi="Times New Roman" w:cs="Times New Roman"/>
      </w:rPr>
    </w:lvl>
    <w:lvl w:ilvl="7" w:tentative="0">
      <w:start w:val="1"/>
      <w:numFmt w:val="lowerLetter"/>
      <w:lvlText w:val="%8)"/>
      <w:lvlJc w:val="left"/>
      <w:pPr>
        <w:ind w:left="3773" w:hanging="420"/>
      </w:pPr>
      <w:rPr>
        <w:rFonts w:hint="default" w:ascii="Times New Roman" w:hAnsi="Times New Roman" w:cs="Times New Roman"/>
      </w:rPr>
    </w:lvl>
    <w:lvl w:ilvl="8" w:tentative="0">
      <w:start w:val="1"/>
      <w:numFmt w:val="lowerRoman"/>
      <w:lvlText w:val="%9."/>
      <w:lvlJc w:val="right"/>
      <w:pPr>
        <w:ind w:left="4193" w:hanging="420"/>
      </w:pPr>
      <w:rPr>
        <w:rFonts w:hint="default" w:ascii="Times New Roman" w:hAnsi="Times New Roman" w:cs="Times New Roman"/>
      </w:rPr>
    </w:lvl>
  </w:abstractNum>
  <w:abstractNum w:abstractNumId="6">
    <w:nsid w:val="5B627FA4"/>
    <w:multiLevelType w:val="multilevel"/>
    <w:tmpl w:val="5B627FA4"/>
    <w:lvl w:ilvl="0" w:tentative="0">
      <w:start w:val="4"/>
      <w:numFmt w:val="decimal"/>
      <w:lvlText w:val="%1、"/>
      <w:lvlJc w:val="left"/>
      <w:pPr>
        <w:ind w:left="928" w:hanging="360"/>
      </w:pPr>
      <w:rPr>
        <w:rFonts w:hint="default" w:ascii="Times New Roman" w:hAnsi="Times New Roman" w:cs="Times New Roman"/>
      </w:rPr>
    </w:lvl>
    <w:lvl w:ilvl="1" w:tentative="0">
      <w:start w:val="1"/>
      <w:numFmt w:val="lowerLetter"/>
      <w:lvlText w:val="%2)"/>
      <w:lvlJc w:val="left"/>
      <w:pPr>
        <w:ind w:left="1357" w:hanging="420"/>
      </w:pPr>
      <w:rPr>
        <w:rFonts w:hint="default" w:ascii="Times New Roman" w:hAnsi="Times New Roman" w:cs="Times New Roman"/>
      </w:rPr>
    </w:lvl>
    <w:lvl w:ilvl="2" w:tentative="0">
      <w:start w:val="1"/>
      <w:numFmt w:val="lowerRoman"/>
      <w:lvlText w:val="%3."/>
      <w:lvlJc w:val="right"/>
      <w:pPr>
        <w:ind w:left="1777" w:hanging="420"/>
      </w:pPr>
      <w:rPr>
        <w:rFonts w:hint="default" w:ascii="Times New Roman" w:hAnsi="Times New Roman" w:cs="Times New Roman"/>
      </w:rPr>
    </w:lvl>
    <w:lvl w:ilvl="3" w:tentative="0">
      <w:start w:val="1"/>
      <w:numFmt w:val="decimal"/>
      <w:lvlText w:val="%4."/>
      <w:lvlJc w:val="left"/>
      <w:pPr>
        <w:ind w:left="2197" w:hanging="420"/>
      </w:pPr>
      <w:rPr>
        <w:rFonts w:hint="default" w:ascii="Times New Roman" w:hAnsi="Times New Roman" w:cs="Times New Roman"/>
      </w:rPr>
    </w:lvl>
    <w:lvl w:ilvl="4" w:tentative="0">
      <w:start w:val="1"/>
      <w:numFmt w:val="lowerLetter"/>
      <w:lvlText w:val="%5)"/>
      <w:lvlJc w:val="left"/>
      <w:pPr>
        <w:ind w:left="2617" w:hanging="420"/>
      </w:pPr>
      <w:rPr>
        <w:rFonts w:hint="default" w:ascii="Times New Roman" w:hAnsi="Times New Roman" w:cs="Times New Roman"/>
      </w:rPr>
    </w:lvl>
    <w:lvl w:ilvl="5" w:tentative="0">
      <w:start w:val="1"/>
      <w:numFmt w:val="lowerRoman"/>
      <w:lvlText w:val="%6."/>
      <w:lvlJc w:val="right"/>
      <w:pPr>
        <w:ind w:left="3037" w:hanging="420"/>
      </w:pPr>
      <w:rPr>
        <w:rFonts w:hint="default" w:ascii="Times New Roman" w:hAnsi="Times New Roman" w:cs="Times New Roman"/>
      </w:rPr>
    </w:lvl>
    <w:lvl w:ilvl="6" w:tentative="0">
      <w:start w:val="1"/>
      <w:numFmt w:val="decimal"/>
      <w:lvlText w:val="%7."/>
      <w:lvlJc w:val="left"/>
      <w:pPr>
        <w:ind w:left="3457" w:hanging="420"/>
      </w:pPr>
      <w:rPr>
        <w:rFonts w:hint="default" w:ascii="Times New Roman" w:hAnsi="Times New Roman" w:cs="Times New Roman"/>
      </w:rPr>
    </w:lvl>
    <w:lvl w:ilvl="7" w:tentative="0">
      <w:start w:val="1"/>
      <w:numFmt w:val="lowerLetter"/>
      <w:lvlText w:val="%8)"/>
      <w:lvlJc w:val="left"/>
      <w:pPr>
        <w:ind w:left="3877" w:hanging="420"/>
      </w:pPr>
      <w:rPr>
        <w:rFonts w:hint="default" w:ascii="Times New Roman" w:hAnsi="Times New Roman" w:cs="Times New Roman"/>
      </w:rPr>
    </w:lvl>
    <w:lvl w:ilvl="8" w:tentative="0">
      <w:start w:val="1"/>
      <w:numFmt w:val="lowerRoman"/>
      <w:lvlText w:val="%9."/>
      <w:lvlJc w:val="right"/>
      <w:pPr>
        <w:ind w:left="4297" w:hanging="420"/>
      </w:pPr>
      <w:rPr>
        <w:rFonts w:hint="default" w:ascii="Times New Roman" w:hAnsi="Times New Roman" w:cs="Times New Roman"/>
      </w:rPr>
    </w:lvl>
  </w:abstractNum>
  <w:abstractNum w:abstractNumId="7">
    <w:nsid w:val="62B0569D"/>
    <w:multiLevelType w:val="multilevel"/>
    <w:tmpl w:val="62B0569D"/>
    <w:lvl w:ilvl="0" w:tentative="0">
      <w:start w:val="3"/>
      <w:numFmt w:val="decimal"/>
      <w:lvlText w:val="%1）"/>
      <w:lvlJc w:val="left"/>
      <w:pPr>
        <w:ind w:left="885" w:hanging="360"/>
      </w:pPr>
      <w:rPr>
        <w:rFonts w:hint="default" w:ascii="Times New Roman" w:hAnsi="Times New Roman" w:cs="Times New Roman"/>
      </w:rPr>
    </w:lvl>
    <w:lvl w:ilvl="1" w:tentative="0">
      <w:start w:val="1"/>
      <w:numFmt w:val="lowerLetter"/>
      <w:lvlText w:val="%2)"/>
      <w:lvlJc w:val="left"/>
      <w:pPr>
        <w:ind w:left="1365" w:hanging="420"/>
      </w:pPr>
      <w:rPr>
        <w:rFonts w:hint="default" w:ascii="Times New Roman" w:hAnsi="Times New Roman" w:cs="Times New Roman"/>
      </w:rPr>
    </w:lvl>
    <w:lvl w:ilvl="2" w:tentative="0">
      <w:start w:val="1"/>
      <w:numFmt w:val="lowerRoman"/>
      <w:lvlText w:val="%3."/>
      <w:lvlJc w:val="right"/>
      <w:pPr>
        <w:ind w:left="1785" w:hanging="420"/>
      </w:pPr>
      <w:rPr>
        <w:rFonts w:hint="default" w:ascii="Times New Roman" w:hAnsi="Times New Roman" w:cs="Times New Roman"/>
      </w:rPr>
    </w:lvl>
    <w:lvl w:ilvl="3" w:tentative="0">
      <w:start w:val="1"/>
      <w:numFmt w:val="decimal"/>
      <w:lvlText w:val="%4."/>
      <w:lvlJc w:val="left"/>
      <w:pPr>
        <w:ind w:left="2205" w:hanging="420"/>
      </w:pPr>
      <w:rPr>
        <w:rFonts w:hint="default" w:ascii="Times New Roman" w:hAnsi="Times New Roman" w:cs="Times New Roman"/>
      </w:rPr>
    </w:lvl>
    <w:lvl w:ilvl="4" w:tentative="0">
      <w:start w:val="1"/>
      <w:numFmt w:val="lowerLetter"/>
      <w:lvlText w:val="%5)"/>
      <w:lvlJc w:val="left"/>
      <w:pPr>
        <w:ind w:left="2625" w:hanging="420"/>
      </w:pPr>
      <w:rPr>
        <w:rFonts w:hint="default" w:ascii="Times New Roman" w:hAnsi="Times New Roman" w:cs="Times New Roman"/>
      </w:rPr>
    </w:lvl>
    <w:lvl w:ilvl="5" w:tentative="0">
      <w:start w:val="1"/>
      <w:numFmt w:val="lowerRoman"/>
      <w:lvlText w:val="%6."/>
      <w:lvlJc w:val="right"/>
      <w:pPr>
        <w:ind w:left="3045" w:hanging="420"/>
      </w:pPr>
      <w:rPr>
        <w:rFonts w:hint="default" w:ascii="Times New Roman" w:hAnsi="Times New Roman" w:cs="Times New Roman"/>
      </w:rPr>
    </w:lvl>
    <w:lvl w:ilvl="6" w:tentative="0">
      <w:start w:val="1"/>
      <w:numFmt w:val="decimal"/>
      <w:lvlText w:val="%7."/>
      <w:lvlJc w:val="left"/>
      <w:pPr>
        <w:ind w:left="3465" w:hanging="420"/>
      </w:pPr>
      <w:rPr>
        <w:rFonts w:hint="default" w:ascii="Times New Roman" w:hAnsi="Times New Roman" w:cs="Times New Roman"/>
      </w:rPr>
    </w:lvl>
    <w:lvl w:ilvl="7" w:tentative="0">
      <w:start w:val="1"/>
      <w:numFmt w:val="lowerLetter"/>
      <w:lvlText w:val="%8)"/>
      <w:lvlJc w:val="left"/>
      <w:pPr>
        <w:ind w:left="3885" w:hanging="420"/>
      </w:pPr>
      <w:rPr>
        <w:rFonts w:hint="default" w:ascii="Times New Roman" w:hAnsi="Times New Roman" w:cs="Times New Roman"/>
      </w:rPr>
    </w:lvl>
    <w:lvl w:ilvl="8" w:tentative="0">
      <w:start w:val="1"/>
      <w:numFmt w:val="lowerRoman"/>
      <w:lvlText w:val="%9."/>
      <w:lvlJc w:val="right"/>
      <w:pPr>
        <w:ind w:left="4305" w:hanging="420"/>
      </w:pPr>
      <w:rPr>
        <w:rFonts w:hint="default" w:ascii="Times New Roman" w:hAnsi="Times New Roman" w:cs="Times New Roman"/>
      </w:r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415BD"/>
    <w:rsid w:val="00001263"/>
    <w:rsid w:val="00010116"/>
    <w:rsid w:val="0002467C"/>
    <w:rsid w:val="000F740E"/>
    <w:rsid w:val="0011395A"/>
    <w:rsid w:val="001143FB"/>
    <w:rsid w:val="00135F63"/>
    <w:rsid w:val="00143F50"/>
    <w:rsid w:val="001544A6"/>
    <w:rsid w:val="0019466A"/>
    <w:rsid w:val="001C49FA"/>
    <w:rsid w:val="001D0BC6"/>
    <w:rsid w:val="001E6826"/>
    <w:rsid w:val="00232DB3"/>
    <w:rsid w:val="002F3CA4"/>
    <w:rsid w:val="002F77A3"/>
    <w:rsid w:val="00343F0A"/>
    <w:rsid w:val="00363913"/>
    <w:rsid w:val="003D779E"/>
    <w:rsid w:val="00432247"/>
    <w:rsid w:val="004675A0"/>
    <w:rsid w:val="0049330E"/>
    <w:rsid w:val="004A1174"/>
    <w:rsid w:val="004E34EF"/>
    <w:rsid w:val="00514DB6"/>
    <w:rsid w:val="00522CD4"/>
    <w:rsid w:val="005436B9"/>
    <w:rsid w:val="005508BB"/>
    <w:rsid w:val="00555C92"/>
    <w:rsid w:val="005B11FC"/>
    <w:rsid w:val="005B5060"/>
    <w:rsid w:val="005C4716"/>
    <w:rsid w:val="005D32C3"/>
    <w:rsid w:val="00650B46"/>
    <w:rsid w:val="0069054C"/>
    <w:rsid w:val="00694AD8"/>
    <w:rsid w:val="006B0AAA"/>
    <w:rsid w:val="007412AA"/>
    <w:rsid w:val="00764431"/>
    <w:rsid w:val="00772D03"/>
    <w:rsid w:val="00787A50"/>
    <w:rsid w:val="00792F55"/>
    <w:rsid w:val="007A0E27"/>
    <w:rsid w:val="007B1B06"/>
    <w:rsid w:val="007C3A6B"/>
    <w:rsid w:val="00801D1B"/>
    <w:rsid w:val="00881B7A"/>
    <w:rsid w:val="00895DDC"/>
    <w:rsid w:val="008A254A"/>
    <w:rsid w:val="00925AD1"/>
    <w:rsid w:val="00935EA4"/>
    <w:rsid w:val="00961270"/>
    <w:rsid w:val="009A2220"/>
    <w:rsid w:val="009B6E04"/>
    <w:rsid w:val="009C15B1"/>
    <w:rsid w:val="00A240E1"/>
    <w:rsid w:val="00A2641E"/>
    <w:rsid w:val="00A377DC"/>
    <w:rsid w:val="00A47BF9"/>
    <w:rsid w:val="00A72BF4"/>
    <w:rsid w:val="00A94217"/>
    <w:rsid w:val="00AA41AD"/>
    <w:rsid w:val="00AC6457"/>
    <w:rsid w:val="00B415BD"/>
    <w:rsid w:val="00B459B9"/>
    <w:rsid w:val="00B47027"/>
    <w:rsid w:val="00B944C4"/>
    <w:rsid w:val="00BC2637"/>
    <w:rsid w:val="00C36E06"/>
    <w:rsid w:val="00C51580"/>
    <w:rsid w:val="00C6723E"/>
    <w:rsid w:val="00C97E8D"/>
    <w:rsid w:val="00CA26F4"/>
    <w:rsid w:val="00CD6DF5"/>
    <w:rsid w:val="00CE6AB5"/>
    <w:rsid w:val="00D02B40"/>
    <w:rsid w:val="00D95840"/>
    <w:rsid w:val="00DB5081"/>
    <w:rsid w:val="00DB5BF8"/>
    <w:rsid w:val="00E451BF"/>
    <w:rsid w:val="00E655AB"/>
    <w:rsid w:val="00EA3F08"/>
    <w:rsid w:val="00EB35AA"/>
    <w:rsid w:val="00EB5B53"/>
    <w:rsid w:val="00EC67BE"/>
    <w:rsid w:val="00F145C0"/>
    <w:rsid w:val="00F832CD"/>
    <w:rsid w:val="00F93644"/>
    <w:rsid w:val="00FC0309"/>
    <w:rsid w:val="00FC1B06"/>
    <w:rsid w:val="049727C2"/>
    <w:rsid w:val="07D93D62"/>
    <w:rsid w:val="18423D20"/>
    <w:rsid w:val="18945D36"/>
    <w:rsid w:val="21794135"/>
    <w:rsid w:val="27396D94"/>
    <w:rsid w:val="2F366D2B"/>
    <w:rsid w:val="301E76C0"/>
    <w:rsid w:val="34C9730B"/>
    <w:rsid w:val="3C6B31A4"/>
    <w:rsid w:val="3DD4353C"/>
    <w:rsid w:val="3E212DEA"/>
    <w:rsid w:val="3E790205"/>
    <w:rsid w:val="47BE0104"/>
    <w:rsid w:val="54625E54"/>
    <w:rsid w:val="54D92F72"/>
    <w:rsid w:val="5890403B"/>
    <w:rsid w:val="59A840E1"/>
    <w:rsid w:val="64365CDD"/>
    <w:rsid w:val="65096EC0"/>
    <w:rsid w:val="6E001A16"/>
    <w:rsid w:val="72DF0274"/>
    <w:rsid w:val="755F3269"/>
    <w:rsid w:val="77FB6CF6"/>
    <w:rsid w:val="78333FA3"/>
    <w:rsid w:val="789C076E"/>
    <w:rsid w:val="7CA83D38"/>
    <w:rsid w:val="7DF76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link w:val="38"/>
    <w:qFormat/>
    <w:uiPriority w:val="0"/>
    <w:pPr>
      <w:keepNext/>
      <w:keepLines/>
      <w:spacing w:line="415" w:lineRule="auto"/>
      <w:outlineLvl w:val="1"/>
    </w:pPr>
    <w:rPr>
      <w:rFonts w:ascii="Arial" w:hAnsi="Arial" w:cs="Arial"/>
      <w:b/>
      <w:bCs/>
    </w:rPr>
  </w:style>
  <w:style w:type="paragraph" w:styleId="6">
    <w:name w:val="heading 3"/>
    <w:basedOn w:val="1"/>
    <w:next w:val="1"/>
    <w:link w:val="39"/>
    <w:qFormat/>
    <w:uiPriority w:val="0"/>
    <w:pPr>
      <w:keepNext/>
      <w:keepLines/>
      <w:spacing w:line="412" w:lineRule="auto"/>
      <w:outlineLvl w:val="2"/>
    </w:pPr>
    <w:rPr>
      <w:b/>
      <w:bCs/>
      <w:sz w:val="32"/>
      <w:szCs w:val="32"/>
    </w:rPr>
  </w:style>
  <w:style w:type="paragraph" w:styleId="7">
    <w:name w:val="heading 4"/>
    <w:basedOn w:val="1"/>
    <w:next w:val="1"/>
    <w:link w:val="40"/>
    <w:qFormat/>
    <w:uiPriority w:val="0"/>
    <w:pPr>
      <w:keepNext/>
      <w:keepLines/>
      <w:spacing w:before="280" w:after="290" w:line="372" w:lineRule="auto"/>
      <w:outlineLvl w:val="3"/>
    </w:pPr>
    <w:rPr>
      <w:rFonts w:ascii="Arial" w:hAnsi="Arial" w:eastAsia="黑体"/>
      <w:b/>
      <w:kern w:val="0"/>
      <w:sz w:val="28"/>
      <w:szCs w:val="20"/>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qFormat/>
    <w:uiPriority w:val="0"/>
    <w:pPr>
      <w:spacing w:after="120"/>
      <w:ind w:left="420" w:leftChars="200" w:firstLine="420" w:firstLineChars="200"/>
    </w:pPr>
  </w:style>
  <w:style w:type="paragraph" w:styleId="3">
    <w:name w:val="Body Text Indent"/>
    <w:basedOn w:val="1"/>
    <w:next w:val="4"/>
    <w:link w:val="55"/>
    <w:qFormat/>
    <w:uiPriority w:val="0"/>
    <w:pPr>
      <w:ind w:firstLine="645"/>
    </w:pPr>
    <w:rPr>
      <w:rFonts w:ascii="Arial" w:hAnsi="Arial" w:eastAsia="仿宋_GB2312"/>
      <w:sz w:val="28"/>
    </w:rPr>
  </w:style>
  <w:style w:type="paragraph" w:styleId="4">
    <w:name w:val="envelope return"/>
    <w:basedOn w:val="1"/>
    <w:qFormat/>
    <w:uiPriority w:val="0"/>
    <w:pPr>
      <w:snapToGrid w:val="0"/>
    </w:pPr>
    <w:rPr>
      <w:rFonts w:ascii="Arial" w:hAnsi="Arial" w:cs="Arial"/>
      <w:szCs w:val="24"/>
    </w:rPr>
  </w:style>
  <w:style w:type="paragraph" w:styleId="8">
    <w:name w:val="Document Map"/>
    <w:basedOn w:val="1"/>
    <w:link w:val="42"/>
    <w:qFormat/>
    <w:uiPriority w:val="0"/>
    <w:rPr>
      <w:rFonts w:ascii="宋体" w:hAnsiTheme="minorHAnsi" w:eastAsiaTheme="minorEastAsia" w:cstheme="minorBidi"/>
      <w:sz w:val="18"/>
      <w:szCs w:val="18"/>
    </w:rPr>
  </w:style>
  <w:style w:type="paragraph" w:styleId="9">
    <w:name w:val="Body Text"/>
    <w:basedOn w:val="1"/>
    <w:link w:val="45"/>
    <w:qFormat/>
    <w:uiPriority w:val="99"/>
    <w:pPr>
      <w:spacing w:after="120"/>
    </w:pPr>
    <w:rPr>
      <w:rFonts w:asciiTheme="minorHAnsi" w:hAnsiTheme="minorHAnsi" w:eastAsiaTheme="minorEastAsia" w:cstheme="minorBidi"/>
    </w:rPr>
  </w:style>
  <w:style w:type="paragraph" w:styleId="10">
    <w:name w:val="toc 3"/>
    <w:basedOn w:val="1"/>
    <w:next w:val="1"/>
    <w:qFormat/>
    <w:uiPriority w:val="0"/>
    <w:pPr>
      <w:spacing w:before="100" w:beforeAutospacing="1" w:after="100" w:afterAutospacing="1"/>
      <w:ind w:left="400" w:leftChars="400"/>
    </w:pPr>
  </w:style>
  <w:style w:type="paragraph" w:styleId="11">
    <w:name w:val="toc 8"/>
    <w:basedOn w:val="1"/>
    <w:next w:val="1"/>
    <w:qFormat/>
    <w:uiPriority w:val="0"/>
    <w:pPr>
      <w:ind w:left="2940" w:leftChars="1400"/>
    </w:pPr>
  </w:style>
  <w:style w:type="paragraph" w:styleId="12">
    <w:name w:val="Date"/>
    <w:basedOn w:val="1"/>
    <w:next w:val="1"/>
    <w:link w:val="54"/>
    <w:qFormat/>
    <w:uiPriority w:val="0"/>
    <w:rPr>
      <w:rFonts w:ascii="仿宋_GB2312" w:hAnsi="宋体" w:eastAsia="仿宋_GB2312" w:cs="宋体"/>
      <w:sz w:val="30"/>
      <w:szCs w:val="30"/>
    </w:rPr>
  </w:style>
  <w:style w:type="paragraph" w:styleId="13">
    <w:name w:val="Body Text Indent 2"/>
    <w:basedOn w:val="1"/>
    <w:link w:val="52"/>
    <w:qFormat/>
    <w:uiPriority w:val="0"/>
    <w:pPr>
      <w:ind w:left="630" w:firstLine="645"/>
    </w:pPr>
    <w:rPr>
      <w:rFonts w:ascii="Arial" w:hAnsi="Arial" w:eastAsia="仿宋_GB2312"/>
      <w:sz w:val="32"/>
      <w:szCs w:val="20"/>
    </w:rPr>
  </w:style>
  <w:style w:type="paragraph" w:styleId="14">
    <w:name w:val="Balloon Text"/>
    <w:basedOn w:val="1"/>
    <w:link w:val="48"/>
    <w:qFormat/>
    <w:uiPriority w:val="0"/>
    <w:rPr>
      <w:rFonts w:asciiTheme="minorHAnsi" w:hAnsiTheme="minorHAnsi" w:eastAsiaTheme="minorEastAsia" w:cstheme="minorBidi"/>
      <w:sz w:val="18"/>
      <w:szCs w:val="18"/>
    </w:rPr>
  </w:style>
  <w:style w:type="paragraph" w:styleId="15">
    <w:name w:val="footer"/>
    <w:basedOn w:val="1"/>
    <w:link w:val="37"/>
    <w:unhideWhenUsed/>
    <w:qFormat/>
    <w:uiPriority w:val="0"/>
    <w:pPr>
      <w:tabs>
        <w:tab w:val="center" w:pos="4153"/>
        <w:tab w:val="right" w:pos="8306"/>
      </w:tabs>
      <w:snapToGrid w:val="0"/>
      <w:jc w:val="left"/>
    </w:pPr>
    <w:rPr>
      <w:sz w:val="18"/>
      <w:szCs w:val="18"/>
    </w:rPr>
  </w:style>
  <w:style w:type="paragraph" w:styleId="16">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39"/>
    <w:pPr>
      <w:spacing w:before="120" w:after="120"/>
      <w:jc w:val="left"/>
    </w:pPr>
    <w:rPr>
      <w:rFonts w:ascii="Times New Roman"/>
      <w:caps/>
      <w:szCs w:val="24"/>
    </w:rPr>
  </w:style>
  <w:style w:type="paragraph" w:styleId="18">
    <w:name w:val="index 1"/>
    <w:basedOn w:val="1"/>
    <w:next w:val="1"/>
    <w:semiHidden/>
    <w:qFormat/>
    <w:uiPriority w:val="0"/>
    <w:pPr>
      <w:jc w:val="center"/>
    </w:pPr>
    <w:rPr>
      <w:rFonts w:ascii="仿宋_GB2312" w:eastAsia="仿宋_GB2312"/>
      <w:b/>
      <w:bCs/>
      <w:sz w:val="28"/>
      <w:szCs w:val="20"/>
    </w:rPr>
  </w:style>
  <w:style w:type="paragraph" w:styleId="19">
    <w:name w:val="Subtitle"/>
    <w:basedOn w:val="1"/>
    <w:next w:val="1"/>
    <w:link w:val="57"/>
    <w:qFormat/>
    <w:uiPriority w:val="0"/>
    <w:pPr>
      <w:spacing w:before="240" w:after="60" w:line="312" w:lineRule="auto"/>
      <w:jc w:val="center"/>
      <w:outlineLvl w:val="1"/>
    </w:pPr>
    <w:rPr>
      <w:rFonts w:ascii="Cambria" w:hAnsi="Cambria"/>
      <w:b/>
      <w:bCs/>
      <w:kern w:val="28"/>
    </w:rPr>
  </w:style>
  <w:style w:type="paragraph" w:styleId="20">
    <w:name w:val="toc 2"/>
    <w:basedOn w:val="21"/>
    <w:next w:val="21"/>
    <w:qFormat/>
    <w:uiPriority w:val="0"/>
    <w:rPr>
      <w:rFonts w:eastAsia="仿宋_GB2312"/>
      <w:b/>
      <w:bCs/>
      <w:sz w:val="24"/>
      <w:szCs w:val="24"/>
    </w:rPr>
  </w:style>
  <w:style w:type="paragraph" w:styleId="21">
    <w:name w:val="index 2"/>
    <w:basedOn w:val="1"/>
    <w:next w:val="1"/>
    <w:qFormat/>
    <w:uiPriority w:val="0"/>
    <w:pPr>
      <w:spacing w:before="100" w:beforeAutospacing="1" w:after="100" w:afterAutospacing="1"/>
      <w:ind w:left="200" w:leftChars="200"/>
    </w:pPr>
  </w:style>
  <w:style w:type="paragraph" w:styleId="22">
    <w:name w:val="Normal (Web)"/>
    <w:basedOn w:val="1"/>
    <w:qFormat/>
    <w:uiPriority w:val="0"/>
    <w:pPr>
      <w:jc w:val="left"/>
    </w:pPr>
    <w:rPr>
      <w:kern w:val="0"/>
      <w:sz w:val="24"/>
    </w:rPr>
  </w:style>
  <w:style w:type="paragraph" w:styleId="23">
    <w:name w:val="Title"/>
    <w:basedOn w:val="1"/>
    <w:next w:val="1"/>
    <w:link w:val="51"/>
    <w:qFormat/>
    <w:uiPriority w:val="0"/>
    <w:pPr>
      <w:spacing w:before="240" w:after="60"/>
      <w:jc w:val="center"/>
      <w:outlineLvl w:val="0"/>
    </w:pPr>
    <w:rPr>
      <w:rFonts w:ascii="Cambria" w:hAnsi="Cambria"/>
      <w:b/>
      <w:bCs/>
      <w:sz w:val="32"/>
      <w:szCs w:val="32"/>
    </w:rPr>
  </w:style>
  <w:style w:type="character" w:styleId="26">
    <w:name w:val="FollowedHyperlink"/>
    <w:qFormat/>
    <w:uiPriority w:val="0"/>
    <w:rPr>
      <w:color w:val="0000FF"/>
      <w:u w:val="single"/>
    </w:rPr>
  </w:style>
  <w:style w:type="character" w:styleId="27">
    <w:name w:val="HTML Definition"/>
    <w:qFormat/>
    <w:uiPriority w:val="0"/>
  </w:style>
  <w:style w:type="character" w:styleId="28">
    <w:name w:val="HTML Typewriter"/>
    <w:qFormat/>
    <w:uiPriority w:val="0"/>
    <w:rPr>
      <w:rFonts w:ascii="monospace" w:hAnsi="monospace" w:eastAsia="monospace" w:cs="monospace"/>
      <w:sz w:val="20"/>
    </w:rPr>
  </w:style>
  <w:style w:type="character" w:styleId="29">
    <w:name w:val="HTML Acronym"/>
    <w:basedOn w:val="25"/>
    <w:qFormat/>
    <w:uiPriority w:val="0"/>
  </w:style>
  <w:style w:type="character" w:styleId="30">
    <w:name w:val="HTML Variable"/>
    <w:qFormat/>
    <w:uiPriority w:val="0"/>
  </w:style>
  <w:style w:type="character" w:styleId="31">
    <w:name w:val="Hyperlink"/>
    <w:qFormat/>
    <w:uiPriority w:val="0"/>
    <w:rPr>
      <w:color w:val="0000FF"/>
      <w:u w:val="none"/>
    </w:rPr>
  </w:style>
  <w:style w:type="character" w:styleId="32">
    <w:name w:val="HTML Code"/>
    <w:qFormat/>
    <w:uiPriority w:val="0"/>
    <w:rPr>
      <w:rFonts w:hint="default" w:ascii="monospace" w:hAnsi="monospace" w:eastAsia="monospace" w:cs="monospace"/>
      <w:sz w:val="20"/>
    </w:rPr>
  </w:style>
  <w:style w:type="character" w:styleId="33">
    <w:name w:val="HTML Cite"/>
    <w:qFormat/>
    <w:uiPriority w:val="0"/>
  </w:style>
  <w:style w:type="character" w:styleId="34">
    <w:name w:val="HTML Keyboard"/>
    <w:qFormat/>
    <w:uiPriority w:val="0"/>
    <w:rPr>
      <w:rFonts w:hint="default" w:ascii="monospace" w:hAnsi="monospace" w:eastAsia="monospace" w:cs="monospace"/>
      <w:sz w:val="20"/>
    </w:rPr>
  </w:style>
  <w:style w:type="character" w:styleId="35">
    <w:name w:val="HTML Sample"/>
    <w:qFormat/>
    <w:uiPriority w:val="0"/>
    <w:rPr>
      <w:rFonts w:hint="default" w:ascii="monospace" w:hAnsi="monospace" w:eastAsia="monospace" w:cs="monospace"/>
    </w:rPr>
  </w:style>
  <w:style w:type="character" w:customStyle="1" w:styleId="36">
    <w:name w:val="页眉 Char"/>
    <w:basedOn w:val="25"/>
    <w:link w:val="16"/>
    <w:semiHidden/>
    <w:qFormat/>
    <w:uiPriority w:val="99"/>
    <w:rPr>
      <w:sz w:val="18"/>
      <w:szCs w:val="18"/>
    </w:rPr>
  </w:style>
  <w:style w:type="character" w:customStyle="1" w:styleId="37">
    <w:name w:val="页脚 Char"/>
    <w:basedOn w:val="25"/>
    <w:link w:val="15"/>
    <w:semiHidden/>
    <w:qFormat/>
    <w:uiPriority w:val="99"/>
    <w:rPr>
      <w:sz w:val="18"/>
      <w:szCs w:val="18"/>
    </w:rPr>
  </w:style>
  <w:style w:type="character" w:customStyle="1" w:styleId="38">
    <w:name w:val="标题 2 Char"/>
    <w:basedOn w:val="25"/>
    <w:link w:val="5"/>
    <w:qFormat/>
    <w:uiPriority w:val="0"/>
    <w:rPr>
      <w:rFonts w:ascii="Arial" w:hAnsi="Arial" w:eastAsia="宋体" w:cs="Arial"/>
      <w:b/>
      <w:bCs/>
      <w:szCs w:val="21"/>
    </w:rPr>
  </w:style>
  <w:style w:type="character" w:customStyle="1" w:styleId="39">
    <w:name w:val="标题 3 Char"/>
    <w:basedOn w:val="25"/>
    <w:link w:val="6"/>
    <w:qFormat/>
    <w:uiPriority w:val="0"/>
    <w:rPr>
      <w:rFonts w:ascii="Times New Roman" w:hAnsi="Times New Roman" w:eastAsia="宋体" w:cs="Times New Roman"/>
      <w:b/>
      <w:bCs/>
      <w:sz w:val="32"/>
      <w:szCs w:val="32"/>
    </w:rPr>
  </w:style>
  <w:style w:type="character" w:customStyle="1" w:styleId="40">
    <w:name w:val="标题 4 Char"/>
    <w:basedOn w:val="25"/>
    <w:link w:val="7"/>
    <w:qFormat/>
    <w:uiPriority w:val="0"/>
    <w:rPr>
      <w:rFonts w:ascii="Arial" w:hAnsi="Arial" w:eastAsia="黑体" w:cs="Times New Roman"/>
      <w:b/>
      <w:kern w:val="0"/>
      <w:sz w:val="28"/>
      <w:szCs w:val="20"/>
    </w:rPr>
  </w:style>
  <w:style w:type="character" w:customStyle="1" w:styleId="41">
    <w:name w:val="18"/>
    <w:qFormat/>
    <w:uiPriority w:val="0"/>
    <w:rPr>
      <w:rFonts w:hint="default" w:ascii="Times New Roman" w:hAnsi="Times New Roman" w:cs="Times New Roman"/>
      <w:color w:val="0000FF"/>
      <w:u w:val="single"/>
    </w:rPr>
  </w:style>
  <w:style w:type="character" w:customStyle="1" w:styleId="42">
    <w:name w:val="文档结构图 Char"/>
    <w:basedOn w:val="25"/>
    <w:link w:val="8"/>
    <w:qFormat/>
    <w:uiPriority w:val="0"/>
    <w:rPr>
      <w:rFonts w:ascii="宋体"/>
      <w:sz w:val="18"/>
      <w:szCs w:val="18"/>
    </w:rPr>
  </w:style>
  <w:style w:type="character" w:customStyle="1" w:styleId="43">
    <w:name w:val="16"/>
    <w:qFormat/>
    <w:uiPriority w:val="0"/>
    <w:rPr>
      <w:rFonts w:hint="default" w:ascii="Cambria" w:hAnsi="Cambria" w:cs="Times New Roman"/>
      <w:b/>
      <w:bCs/>
      <w:kern w:val="28"/>
      <w:sz w:val="21"/>
      <w:szCs w:val="21"/>
    </w:rPr>
  </w:style>
  <w:style w:type="character" w:customStyle="1" w:styleId="44">
    <w:name w:val="17"/>
    <w:qFormat/>
    <w:uiPriority w:val="0"/>
    <w:rPr>
      <w:rFonts w:hint="default" w:ascii="Times New Roman" w:hAnsi="Times New Roman" w:cs="Times New Roman"/>
    </w:rPr>
  </w:style>
  <w:style w:type="character" w:customStyle="1" w:styleId="45">
    <w:name w:val="正文文本 Char"/>
    <w:link w:val="9"/>
    <w:qFormat/>
    <w:uiPriority w:val="99"/>
    <w:rPr>
      <w:szCs w:val="21"/>
    </w:rPr>
  </w:style>
  <w:style w:type="character" w:customStyle="1" w:styleId="46">
    <w:name w:val="10"/>
    <w:qFormat/>
    <w:uiPriority w:val="0"/>
    <w:rPr>
      <w:rFonts w:hint="default" w:ascii="Times New Roman" w:hAnsi="Times New Roman" w:cs="Times New Roman"/>
    </w:rPr>
  </w:style>
  <w:style w:type="character" w:customStyle="1" w:styleId="47">
    <w:name w:val="15"/>
    <w:qFormat/>
    <w:uiPriority w:val="0"/>
    <w:rPr>
      <w:rFonts w:hint="eastAsia" w:ascii="宋体" w:hAnsi="宋体" w:eastAsia="宋体"/>
      <w:color w:val="000000"/>
      <w:sz w:val="24"/>
      <w:szCs w:val="24"/>
    </w:rPr>
  </w:style>
  <w:style w:type="character" w:customStyle="1" w:styleId="48">
    <w:name w:val="批注框文本 Char"/>
    <w:basedOn w:val="25"/>
    <w:link w:val="14"/>
    <w:qFormat/>
    <w:uiPriority w:val="0"/>
    <w:rPr>
      <w:sz w:val="18"/>
      <w:szCs w:val="18"/>
    </w:rPr>
  </w:style>
  <w:style w:type="character" w:customStyle="1" w:styleId="49">
    <w:name w:val="文档结构图 Char1"/>
    <w:basedOn w:val="25"/>
    <w:semiHidden/>
    <w:qFormat/>
    <w:uiPriority w:val="99"/>
    <w:rPr>
      <w:rFonts w:ascii="宋体" w:hAnsi="Times New Roman" w:eastAsia="宋体" w:cs="Times New Roman"/>
      <w:sz w:val="18"/>
      <w:szCs w:val="18"/>
    </w:rPr>
  </w:style>
  <w:style w:type="character" w:customStyle="1" w:styleId="50">
    <w:name w:val="正文文本 Char1"/>
    <w:basedOn w:val="25"/>
    <w:semiHidden/>
    <w:qFormat/>
    <w:uiPriority w:val="99"/>
    <w:rPr>
      <w:rFonts w:ascii="Times New Roman" w:hAnsi="Times New Roman" w:eastAsia="宋体" w:cs="Times New Roman"/>
      <w:szCs w:val="21"/>
    </w:rPr>
  </w:style>
  <w:style w:type="character" w:customStyle="1" w:styleId="51">
    <w:name w:val="标题 Char"/>
    <w:basedOn w:val="25"/>
    <w:link w:val="23"/>
    <w:qFormat/>
    <w:uiPriority w:val="0"/>
    <w:rPr>
      <w:rFonts w:ascii="Cambria" w:hAnsi="Cambria" w:eastAsia="宋体" w:cs="Times New Roman"/>
      <w:b/>
      <w:bCs/>
      <w:sz w:val="32"/>
      <w:szCs w:val="32"/>
    </w:rPr>
  </w:style>
  <w:style w:type="character" w:customStyle="1" w:styleId="52">
    <w:name w:val="正文文本缩进 2 Char"/>
    <w:basedOn w:val="25"/>
    <w:link w:val="13"/>
    <w:qFormat/>
    <w:uiPriority w:val="0"/>
    <w:rPr>
      <w:rFonts w:ascii="Arial" w:hAnsi="Arial" w:eastAsia="仿宋_GB2312" w:cs="Times New Roman"/>
      <w:sz w:val="32"/>
      <w:szCs w:val="20"/>
    </w:rPr>
  </w:style>
  <w:style w:type="character" w:customStyle="1" w:styleId="53">
    <w:name w:val="批注框文本 Char1"/>
    <w:basedOn w:val="25"/>
    <w:semiHidden/>
    <w:qFormat/>
    <w:uiPriority w:val="99"/>
    <w:rPr>
      <w:rFonts w:ascii="Times New Roman" w:hAnsi="Times New Roman" w:eastAsia="宋体" w:cs="Times New Roman"/>
      <w:sz w:val="18"/>
      <w:szCs w:val="18"/>
    </w:rPr>
  </w:style>
  <w:style w:type="character" w:customStyle="1" w:styleId="54">
    <w:name w:val="日期 Char"/>
    <w:basedOn w:val="25"/>
    <w:link w:val="12"/>
    <w:qFormat/>
    <w:uiPriority w:val="0"/>
    <w:rPr>
      <w:rFonts w:ascii="仿宋_GB2312" w:hAnsi="宋体" w:eastAsia="仿宋_GB2312" w:cs="宋体"/>
      <w:sz w:val="30"/>
      <w:szCs w:val="30"/>
    </w:rPr>
  </w:style>
  <w:style w:type="character" w:customStyle="1" w:styleId="55">
    <w:name w:val="正文文本缩进 Char"/>
    <w:basedOn w:val="25"/>
    <w:link w:val="3"/>
    <w:qFormat/>
    <w:uiPriority w:val="0"/>
    <w:rPr>
      <w:rFonts w:ascii="Arial" w:hAnsi="Arial" w:eastAsia="仿宋_GB2312" w:cs="Times New Roman"/>
      <w:sz w:val="28"/>
      <w:szCs w:val="21"/>
    </w:rPr>
  </w:style>
  <w:style w:type="character" w:customStyle="1" w:styleId="56">
    <w:name w:val="正文首行缩进 2 Char"/>
    <w:basedOn w:val="55"/>
    <w:link w:val="2"/>
    <w:qFormat/>
    <w:uiPriority w:val="0"/>
    <w:rPr>
      <w:rFonts w:ascii="Arial" w:hAnsi="Arial" w:eastAsia="仿宋_GB2312" w:cs="Times New Roman"/>
      <w:sz w:val="28"/>
      <w:szCs w:val="21"/>
    </w:rPr>
  </w:style>
  <w:style w:type="character" w:customStyle="1" w:styleId="57">
    <w:name w:val="副标题 Char"/>
    <w:basedOn w:val="25"/>
    <w:link w:val="19"/>
    <w:qFormat/>
    <w:uiPriority w:val="0"/>
    <w:rPr>
      <w:rFonts w:ascii="Cambria" w:hAnsi="Cambria" w:eastAsia="宋体" w:cs="Times New Roman"/>
      <w:b/>
      <w:bCs/>
      <w:kern w:val="28"/>
      <w:szCs w:val="21"/>
    </w:rPr>
  </w:style>
  <w:style w:type="paragraph" w:customStyle="1" w:styleId="58">
    <w:name w:val="H2"/>
    <w:basedOn w:val="6"/>
    <w:next w:val="1"/>
    <w:qFormat/>
    <w:uiPriority w:val="0"/>
    <w:pPr>
      <w:keepNext w:val="0"/>
      <w:keepLines w:val="0"/>
      <w:spacing w:line="360" w:lineRule="auto"/>
      <w:jc w:val="center"/>
    </w:pPr>
    <w:rPr>
      <w:rFonts w:ascii="宋体" w:hAnsi="宋体" w:cs="Arial"/>
      <w:color w:val="000000"/>
      <w:sz w:val="21"/>
      <w:szCs w:val="21"/>
    </w:rPr>
  </w:style>
  <w:style w:type="paragraph" w:customStyle="1" w:styleId="59">
    <w:name w:val="H1"/>
    <w:basedOn w:val="5"/>
    <w:next w:val="1"/>
    <w:qFormat/>
    <w:uiPriority w:val="0"/>
    <w:pPr>
      <w:spacing w:line="600" w:lineRule="exact"/>
      <w:jc w:val="center"/>
    </w:pPr>
    <w:rPr>
      <w:rFonts w:ascii="宋体" w:hAnsi="宋体" w:eastAsia="黑体" w:cs="宋体"/>
      <w:color w:val="000000"/>
      <w:sz w:val="32"/>
      <w:szCs w:val="32"/>
    </w:rPr>
  </w:style>
  <w:style w:type="paragraph" w:customStyle="1" w:styleId="60">
    <w:name w:val="D&amp;L"/>
    <w:basedOn w:val="16"/>
    <w:qFormat/>
    <w:uiPriority w:val="0"/>
    <w:pPr>
      <w:pBdr>
        <w:bottom w:val="thinThickSmallGap" w:color="auto" w:sz="12" w:space="1"/>
      </w:pBdr>
      <w:tabs>
        <w:tab w:val="clear" w:pos="4153"/>
        <w:tab w:val="clear" w:pos="8306"/>
      </w:tabs>
      <w:adjustRightInd w:val="0"/>
      <w:snapToGrid/>
      <w:spacing w:line="240" w:lineRule="atLeast"/>
      <w:textAlignment w:val="baseline"/>
    </w:pPr>
    <w:rPr>
      <w:kern w:val="0"/>
      <w:sz w:val="24"/>
      <w:szCs w:val="24"/>
    </w:rPr>
  </w:style>
  <w:style w:type="paragraph" w:styleId="61">
    <w:name w:val="List Paragraph"/>
    <w:basedOn w:val="1"/>
    <w:qFormat/>
    <w:uiPriority w:val="34"/>
    <w:pPr>
      <w:ind w:firstLine="420" w:firstLineChars="200"/>
    </w:pPr>
  </w:style>
  <w:style w:type="paragraph" w:customStyle="1" w:styleId="62">
    <w:name w:val="p0"/>
    <w:basedOn w:val="1"/>
    <w:qFormat/>
    <w:uiPriority w:val="0"/>
    <w:pPr>
      <w:widowControl/>
    </w:pPr>
    <w:rPr>
      <w:kern w:val="0"/>
    </w:rPr>
  </w:style>
  <w:style w:type="paragraph" w:customStyle="1" w:styleId="63">
    <w:name w:val="GW-正文"/>
    <w:basedOn w:val="1"/>
    <w:link w:val="66"/>
    <w:qFormat/>
    <w:uiPriority w:val="0"/>
    <w:pPr>
      <w:spacing w:line="360" w:lineRule="auto"/>
      <w:ind w:firstLine="200" w:firstLineChars="200"/>
      <w:contextualSpacing/>
    </w:pPr>
  </w:style>
  <w:style w:type="character" w:customStyle="1" w:styleId="64">
    <w:name w:val="正文文本缩进 2 Char1"/>
    <w:basedOn w:val="25"/>
    <w:semiHidden/>
    <w:qFormat/>
    <w:uiPriority w:val="99"/>
    <w:rPr>
      <w:rFonts w:ascii="Calibri" w:hAnsi="Calibri" w:eastAsia="宋体" w:cs="Times New Roman"/>
    </w:rPr>
  </w:style>
  <w:style w:type="paragraph" w:customStyle="1" w:styleId="65">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6">
    <w:name w:val="GW-正文 Char"/>
    <w:link w:val="63"/>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47</Pages>
  <Words>4208</Words>
  <Characters>23990</Characters>
  <Lines>199</Lines>
  <Paragraphs>56</Paragraphs>
  <TotalTime>18</TotalTime>
  <ScaleCrop>false</ScaleCrop>
  <LinksUpToDate>false</LinksUpToDate>
  <CharactersWithSpaces>28142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2019-11-01T07:07:00Z</dcterms:created>
  <dc:creator>NTKO</dc:creator>
  <cp:lastModifiedBy>Administrator</cp:lastModifiedBy>
  <dcterms:modified xsi:type="dcterms:W3CDTF">2019-11-13T06:57:27Z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