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val="en-US" w:eastAsia="zh-CN"/>
        </w:rPr>
      </w:pPr>
      <w:r>
        <w:rPr>
          <w:rFonts w:hint="eastAsia"/>
          <w:b/>
          <w:bCs/>
          <w:sz w:val="44"/>
          <w:szCs w:val="44"/>
          <w:lang w:eastAsia="zh-CN"/>
        </w:rPr>
        <w:t>宿州市主城区充电基础设施建设实施意见</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征求意见稿</w:t>
      </w:r>
      <w:r>
        <w:rPr>
          <w:rFonts w:hint="eastAsia" w:ascii="楷体" w:hAnsi="楷体" w:eastAsia="楷体" w:cs="楷体"/>
          <w:b w:val="0"/>
          <w:bCs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lang w:bidi="ar"/>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为</w:t>
      </w:r>
      <w:r>
        <w:rPr>
          <w:rFonts w:hint="eastAsia" w:ascii="仿宋" w:hAnsi="仿宋" w:eastAsia="仿宋" w:cs="仿宋"/>
          <w:kern w:val="0"/>
          <w:sz w:val="32"/>
          <w:szCs w:val="32"/>
          <w:lang w:eastAsia="zh-CN" w:bidi="ar"/>
        </w:rPr>
        <w:t>有效</w:t>
      </w:r>
      <w:r>
        <w:rPr>
          <w:rFonts w:hint="eastAsia" w:ascii="仿宋" w:hAnsi="仿宋" w:eastAsia="仿宋" w:cs="仿宋"/>
          <w:kern w:val="0"/>
          <w:sz w:val="32"/>
          <w:szCs w:val="32"/>
          <w:lang w:bidi="ar"/>
        </w:rPr>
        <w:t>推进我市</w:t>
      </w:r>
      <w:r>
        <w:rPr>
          <w:rFonts w:hint="eastAsia" w:ascii="仿宋" w:hAnsi="仿宋" w:eastAsia="仿宋" w:cs="仿宋"/>
          <w:kern w:val="0"/>
          <w:sz w:val="32"/>
          <w:szCs w:val="32"/>
          <w:lang w:eastAsia="zh-CN" w:bidi="ar"/>
        </w:rPr>
        <w:t>主城区</w:t>
      </w:r>
      <w:r>
        <w:rPr>
          <w:rFonts w:hint="eastAsia" w:ascii="仿宋" w:hAnsi="仿宋" w:eastAsia="仿宋" w:cs="仿宋"/>
          <w:kern w:val="0"/>
          <w:sz w:val="32"/>
          <w:szCs w:val="32"/>
          <w:lang w:bidi="ar"/>
        </w:rPr>
        <w:t>充电基础设施建设，</w:t>
      </w:r>
      <w:r>
        <w:rPr>
          <w:rFonts w:hint="eastAsia" w:ascii="仿宋" w:hAnsi="仿宋" w:eastAsia="仿宋"/>
          <w:sz w:val="32"/>
          <w:szCs w:val="32"/>
        </w:rPr>
        <w:t>促进电动汽车推广应用</w:t>
      </w:r>
      <w:r>
        <w:rPr>
          <w:rFonts w:hint="eastAsia" w:ascii="仿宋" w:hAnsi="仿宋" w:eastAsia="仿宋"/>
          <w:sz w:val="32"/>
          <w:szCs w:val="32"/>
          <w:lang w:eastAsia="zh-CN"/>
        </w:rPr>
        <w:t>和电动自行车安全便捷使用</w:t>
      </w:r>
      <w:r>
        <w:rPr>
          <w:rFonts w:hint="eastAsia" w:ascii="仿宋" w:hAnsi="仿宋" w:eastAsia="仿宋"/>
          <w:sz w:val="32"/>
          <w:szCs w:val="32"/>
        </w:rPr>
        <w:t>，</w:t>
      </w:r>
      <w:r>
        <w:rPr>
          <w:rFonts w:hint="eastAsia" w:ascii="仿宋" w:hAnsi="仿宋" w:eastAsia="仿宋"/>
          <w:sz w:val="32"/>
          <w:szCs w:val="32"/>
          <w:lang w:val="en-US" w:eastAsia="zh-CN"/>
        </w:rPr>
        <w:t>打赢</w:t>
      </w:r>
      <w:r>
        <w:rPr>
          <w:rFonts w:hint="eastAsia" w:ascii="仿宋" w:hAnsi="仿宋" w:eastAsia="仿宋"/>
          <w:sz w:val="32"/>
          <w:szCs w:val="32"/>
        </w:rPr>
        <w:t>蓝天保卫战</w:t>
      </w:r>
      <w:r>
        <w:rPr>
          <w:rFonts w:hint="eastAsia" w:ascii="仿宋" w:hAnsi="仿宋" w:eastAsia="仿宋"/>
          <w:sz w:val="32"/>
          <w:szCs w:val="32"/>
          <w:lang w:eastAsia="zh-CN"/>
        </w:rPr>
        <w:t>，</w:t>
      </w:r>
      <w:r>
        <w:rPr>
          <w:rFonts w:hint="eastAsia" w:ascii="仿宋" w:hAnsi="仿宋" w:eastAsia="仿宋"/>
          <w:sz w:val="32"/>
          <w:szCs w:val="32"/>
          <w:lang w:val="en-US" w:eastAsia="zh-CN"/>
        </w:rPr>
        <w:t>消除充电安全隐患，</w:t>
      </w:r>
      <w:r>
        <w:rPr>
          <w:rFonts w:hint="eastAsia" w:ascii="仿宋" w:hAnsi="仿宋" w:eastAsia="仿宋"/>
          <w:sz w:val="32"/>
          <w:szCs w:val="32"/>
        </w:rPr>
        <w:t>根据《国务院办公厅关于加快电动汽车充电基础设施建设的指导意见》（国办发〔2015〕73号）、《安徽省人民政府办公厅关于加快电动汽车充电基础设施建设的实施意见》（皖政办〔2016〕3号）</w:t>
      </w:r>
      <w:r>
        <w:rPr>
          <w:rFonts w:hint="eastAsia" w:ascii="仿宋" w:hAnsi="仿宋" w:eastAsia="仿宋"/>
          <w:sz w:val="32"/>
          <w:szCs w:val="32"/>
          <w:lang w:eastAsia="zh-CN"/>
        </w:rPr>
        <w:t>、</w:t>
      </w:r>
      <w:r>
        <w:rPr>
          <w:rFonts w:hint="eastAsia" w:ascii="仿宋" w:hAnsi="仿宋" w:eastAsia="仿宋"/>
          <w:sz w:val="32"/>
          <w:szCs w:val="32"/>
        </w:rPr>
        <w:t>《安徽省人民政府关于印发支持新能源汽车产业创新发展和推广应用若干政策的通知》（皖政〔2017〕110号）</w:t>
      </w:r>
      <w:r>
        <w:rPr>
          <w:rFonts w:hint="eastAsia" w:ascii="仿宋" w:hAnsi="仿宋" w:eastAsia="仿宋"/>
          <w:sz w:val="32"/>
          <w:szCs w:val="32"/>
          <w:lang w:eastAsia="zh-CN"/>
        </w:rPr>
        <w:t>及</w:t>
      </w:r>
      <w:r>
        <w:rPr>
          <w:rFonts w:hint="eastAsia" w:ascii="仿宋" w:hAnsi="仿宋" w:eastAsia="仿宋"/>
          <w:sz w:val="32"/>
          <w:szCs w:val="32"/>
        </w:rPr>
        <w:t>《宿州市电动汽车充电基础设施建设规划（2017-2030）》精神，结合</w:t>
      </w:r>
      <w:r>
        <w:rPr>
          <w:rFonts w:hint="eastAsia" w:ascii="仿宋" w:hAnsi="仿宋" w:eastAsia="仿宋"/>
          <w:sz w:val="32"/>
          <w:szCs w:val="32"/>
          <w:lang w:eastAsia="zh-CN"/>
        </w:rPr>
        <w:t>我市主城区</w:t>
      </w:r>
      <w:r>
        <w:rPr>
          <w:rFonts w:hint="eastAsia" w:ascii="仿宋" w:hAnsi="仿宋" w:eastAsia="仿宋"/>
          <w:sz w:val="32"/>
          <w:szCs w:val="32"/>
        </w:rPr>
        <w:t>实际</w:t>
      </w:r>
      <w:r>
        <w:rPr>
          <w:rFonts w:hint="eastAsia" w:ascii="仿宋" w:hAnsi="仿宋" w:eastAsia="仿宋" w:cs="仿宋"/>
          <w:kern w:val="0"/>
          <w:sz w:val="32"/>
          <w:szCs w:val="32"/>
          <w:lang w:bidi="ar"/>
        </w:rPr>
        <w:t>，制定本</w:t>
      </w:r>
      <w:r>
        <w:rPr>
          <w:rFonts w:hint="eastAsia" w:ascii="仿宋" w:hAnsi="仿宋" w:eastAsia="仿宋" w:cs="仿宋"/>
          <w:kern w:val="0"/>
          <w:sz w:val="32"/>
          <w:szCs w:val="32"/>
          <w:lang w:eastAsia="zh-CN" w:bidi="ar"/>
        </w:rPr>
        <w:t>意见</w:t>
      </w:r>
      <w:r>
        <w:rPr>
          <w:rFonts w:hint="eastAsia" w:ascii="仿宋" w:hAnsi="仿宋" w:eastAsia="仿宋" w:cs="仿宋"/>
          <w:kern w:val="0"/>
          <w:sz w:val="32"/>
          <w:szCs w:val="32"/>
          <w:lang w:bidi="ar"/>
        </w:rPr>
        <w:t>。</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firstLine="64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总体要求</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按照政府主导、市场化运作和“谁投资，谁受益”原则，积极吸纳社会资本，围绕我市创建全国文明城市总体部署，统筹布局，分类有序系统推进，加快主城区充电设施配套建设力度，形成较为完善的充电基础设施体系。</w:t>
      </w:r>
    </w:p>
    <w:p>
      <w:pPr>
        <w:keepNext w:val="0"/>
        <w:keepLines w:val="0"/>
        <w:pageBreakBefore w:val="0"/>
        <w:widowControl/>
        <w:numPr>
          <w:ilvl w:val="0"/>
          <w:numId w:val="1"/>
        </w:numPr>
        <w:kinsoku/>
        <w:wordWrap/>
        <w:overflowPunct/>
        <w:topLinePunct w:val="0"/>
        <w:autoSpaceDE/>
        <w:autoSpaceDN/>
        <w:bidi w:val="0"/>
        <w:adjustRightInd/>
        <w:snapToGrid/>
        <w:spacing w:line="580" w:lineRule="exact"/>
        <w:ind w:left="0" w:leftChars="0" w:firstLine="640" w:firstLineChars="0"/>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发展目标</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黑体"/>
          <w:kern w:val="0"/>
          <w:sz w:val="32"/>
          <w:szCs w:val="32"/>
          <w:lang w:eastAsia="zh-CN" w:bidi="ar"/>
        </w:rPr>
      </w:pPr>
      <w:r>
        <w:rPr>
          <w:rFonts w:hint="eastAsia" w:ascii="楷体" w:hAnsi="楷体" w:eastAsia="楷体" w:cs="楷体"/>
          <w:kern w:val="0"/>
          <w:sz w:val="32"/>
          <w:szCs w:val="32"/>
          <w:lang w:eastAsia="zh-CN" w:bidi="ar"/>
        </w:rPr>
        <w:t>（一）电动汽车充电设施规划建设目标</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lang w:eastAsia="zh-CN"/>
        </w:rPr>
        <w:t>电动汽车充电设施</w:t>
      </w:r>
      <w:r>
        <w:rPr>
          <w:rFonts w:hint="eastAsia" w:ascii="仿宋" w:hAnsi="仿宋" w:eastAsia="仿宋" w:cs="仿宋"/>
          <w:sz w:val="32"/>
          <w:szCs w:val="32"/>
        </w:rPr>
        <w:t>以新建公交充电桩为切入口</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bidi="ar"/>
        </w:rPr>
        <w:t>到2020年，主城区公交、物流、环卫等专用充电基础设施全覆盖，完善主城区各住宅小区、路边停车位、单位内部停车场、公用停车场等公共充电基础设施建设和</w:t>
      </w:r>
      <w:r>
        <w:rPr>
          <w:rFonts w:hint="eastAsia" w:ascii="仿宋" w:hAnsi="仿宋" w:eastAsia="仿宋" w:cs="仿宋"/>
          <w:color w:val="auto"/>
          <w:kern w:val="0"/>
          <w:sz w:val="32"/>
          <w:szCs w:val="32"/>
          <w:lang w:val="en-US" w:eastAsia="zh-CN" w:bidi="ar"/>
        </w:rPr>
        <w:t>自用充电基础设施建设</w:t>
      </w:r>
      <w:r>
        <w:rPr>
          <w:rFonts w:hint="eastAsia" w:ascii="仿宋" w:hAnsi="仿宋" w:eastAsia="仿宋" w:cs="仿宋"/>
          <w:kern w:val="0"/>
          <w:sz w:val="32"/>
          <w:szCs w:val="32"/>
          <w:lang w:val="en-US" w:eastAsia="zh-CN" w:bidi="ar"/>
        </w:rPr>
        <w:t>，依托“互联网+”，基本建成适度超前、车桩相宜、智能高效的充电基础设施体系，形成统一开放、竞争有序的充电服务市场。</w:t>
      </w:r>
    </w:p>
    <w:p>
      <w:pPr>
        <w:pStyle w:val="6"/>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楷体" w:hAnsi="楷体" w:eastAsia="楷体"/>
          <w:sz w:val="32"/>
          <w:szCs w:val="32"/>
          <w:lang w:eastAsia="zh-CN"/>
        </w:rPr>
      </w:pPr>
      <w:r>
        <w:rPr>
          <w:rFonts w:hint="eastAsia" w:ascii="楷体" w:hAnsi="楷体" w:eastAsia="楷体" w:cs="楷体"/>
          <w:kern w:val="0"/>
          <w:sz w:val="32"/>
          <w:szCs w:val="32"/>
          <w:lang w:val="en-US" w:eastAsia="zh-CN" w:bidi="ar"/>
        </w:rPr>
        <w:t>（二）</w:t>
      </w:r>
      <w:r>
        <w:rPr>
          <w:rFonts w:hint="eastAsia" w:ascii="楷体" w:hAnsi="楷体" w:eastAsia="楷体"/>
          <w:sz w:val="32"/>
          <w:szCs w:val="32"/>
        </w:rPr>
        <w:t>电动自行车充电</w:t>
      </w:r>
      <w:r>
        <w:rPr>
          <w:rFonts w:hint="eastAsia" w:ascii="楷体" w:hAnsi="楷体" w:eastAsia="楷体"/>
          <w:sz w:val="32"/>
          <w:szCs w:val="32"/>
          <w:lang w:eastAsia="zh-CN"/>
        </w:rPr>
        <w:t>设施规划建设目标</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0"/>
          <w:sz w:val="32"/>
          <w:szCs w:val="32"/>
          <w:lang w:eastAsia="zh-CN" w:bidi="ar"/>
        </w:rPr>
      </w:pPr>
      <w:r>
        <w:rPr>
          <w:rFonts w:hint="eastAsia" w:ascii="仿宋" w:hAnsi="仿宋" w:eastAsia="仿宋"/>
          <w:sz w:val="32"/>
          <w:szCs w:val="32"/>
          <w:lang w:eastAsia="zh-CN"/>
        </w:rPr>
        <w:t>按照“因地制宜、应建尽建”原则，</w:t>
      </w:r>
      <w:r>
        <w:rPr>
          <w:rFonts w:hint="eastAsia" w:ascii="仿宋" w:hAnsi="仿宋" w:eastAsia="仿宋"/>
          <w:sz w:val="32"/>
          <w:szCs w:val="32"/>
        </w:rPr>
        <w:t>利用</w:t>
      </w:r>
      <w:r>
        <w:rPr>
          <w:rFonts w:hint="eastAsia" w:ascii="仿宋" w:hAnsi="仿宋" w:eastAsia="仿宋"/>
          <w:color w:val="auto"/>
          <w:sz w:val="32"/>
          <w:szCs w:val="32"/>
          <w:lang w:eastAsia="zh-CN"/>
        </w:rPr>
        <w:t>两</w:t>
      </w:r>
      <w:r>
        <w:rPr>
          <w:rFonts w:hint="eastAsia" w:ascii="仿宋" w:hAnsi="仿宋" w:eastAsia="仿宋"/>
          <w:color w:val="auto"/>
          <w:sz w:val="32"/>
          <w:szCs w:val="32"/>
        </w:rPr>
        <w:t>年的</w:t>
      </w:r>
      <w:r>
        <w:rPr>
          <w:rFonts w:hint="eastAsia" w:ascii="仿宋" w:hAnsi="仿宋" w:eastAsia="仿宋"/>
          <w:sz w:val="32"/>
          <w:szCs w:val="32"/>
        </w:rPr>
        <w:t>时间分别在</w:t>
      </w:r>
      <w:r>
        <w:rPr>
          <w:rFonts w:hint="eastAsia" w:ascii="仿宋" w:hAnsi="仿宋" w:eastAsia="仿宋"/>
          <w:sz w:val="32"/>
          <w:szCs w:val="32"/>
          <w:lang w:eastAsia="zh-CN"/>
        </w:rPr>
        <w:t>主城区</w:t>
      </w:r>
      <w:r>
        <w:rPr>
          <w:rFonts w:hint="eastAsia" w:ascii="仿宋" w:hAnsi="仿宋" w:eastAsia="仿宋"/>
          <w:sz w:val="32"/>
          <w:szCs w:val="32"/>
        </w:rPr>
        <w:t>老旧小区、新建小区、机关单位等三类场所建设电动自行车充电</w:t>
      </w:r>
      <w:r>
        <w:rPr>
          <w:rFonts w:hint="eastAsia" w:ascii="仿宋" w:hAnsi="仿宋" w:eastAsia="仿宋"/>
          <w:sz w:val="32"/>
          <w:szCs w:val="32"/>
          <w:lang w:eastAsia="zh-CN"/>
        </w:rPr>
        <w:t>设施</w:t>
      </w:r>
      <w:r>
        <w:rPr>
          <w:rFonts w:hint="eastAsia" w:ascii="仿宋" w:hAnsi="仿宋" w:eastAsia="仿宋"/>
          <w:sz w:val="32"/>
          <w:szCs w:val="32"/>
        </w:rPr>
        <w:t>，2019年</w:t>
      </w:r>
      <w:r>
        <w:rPr>
          <w:rFonts w:hint="eastAsia" w:ascii="仿宋" w:hAnsi="仿宋" w:eastAsia="仿宋"/>
          <w:sz w:val="32"/>
          <w:szCs w:val="32"/>
          <w:lang w:eastAsia="zh-CN"/>
        </w:rPr>
        <w:t>主城区</w:t>
      </w:r>
      <w:r>
        <w:rPr>
          <w:rFonts w:hint="eastAsia" w:ascii="仿宋" w:hAnsi="仿宋" w:eastAsia="仿宋"/>
          <w:sz w:val="32"/>
          <w:szCs w:val="32"/>
        </w:rPr>
        <w:t>安装</w:t>
      </w:r>
      <w:r>
        <w:rPr>
          <w:rFonts w:hint="eastAsia" w:ascii="仿宋" w:hAnsi="仿宋" w:eastAsia="仿宋"/>
          <w:sz w:val="32"/>
          <w:szCs w:val="32"/>
          <w:lang w:eastAsia="zh-CN"/>
        </w:rPr>
        <w:t>不少于</w:t>
      </w:r>
      <w:r>
        <w:rPr>
          <w:rFonts w:hint="eastAsia" w:ascii="仿宋" w:hAnsi="仿宋" w:eastAsia="仿宋"/>
          <w:sz w:val="32"/>
          <w:szCs w:val="32"/>
          <w:lang w:val="en-US" w:eastAsia="zh-CN"/>
        </w:rPr>
        <w:t>30%</w:t>
      </w:r>
      <w:r>
        <w:rPr>
          <w:rFonts w:hint="eastAsia" w:ascii="仿宋" w:hAnsi="仿宋" w:eastAsia="仿宋" w:cs="仿宋"/>
          <w:kern w:val="0"/>
          <w:sz w:val="32"/>
          <w:szCs w:val="32"/>
          <w:lang w:eastAsia="zh-CN" w:bidi="ar"/>
        </w:rPr>
        <w:t>。到</w:t>
      </w:r>
      <w:r>
        <w:rPr>
          <w:rFonts w:hint="eastAsia" w:ascii="仿宋" w:hAnsi="仿宋" w:eastAsia="仿宋" w:cs="仿宋"/>
          <w:kern w:val="0"/>
          <w:sz w:val="32"/>
          <w:szCs w:val="32"/>
          <w:lang w:val="en-US" w:eastAsia="zh-CN" w:bidi="ar"/>
        </w:rPr>
        <w:t>2020年，主城区老旧小区、机关单位基本安装完毕，确保车辆规范停放充电，</w:t>
      </w:r>
      <w:r>
        <w:rPr>
          <w:rFonts w:hint="eastAsia" w:ascii="仿宋" w:hAnsi="仿宋" w:eastAsia="仿宋" w:cs="仿宋"/>
          <w:kern w:val="0"/>
          <w:sz w:val="32"/>
          <w:szCs w:val="32"/>
          <w:lang w:eastAsia="zh-CN" w:bidi="ar"/>
        </w:rPr>
        <w:t>创造良好的消防安全环境，切实保障人民群众生命财产安全。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0"/>
          <w:sz w:val="32"/>
          <w:szCs w:val="32"/>
          <w:lang w:eastAsia="zh-CN" w:bidi="ar"/>
        </w:rPr>
      </w:pPr>
      <w:r>
        <w:rPr>
          <w:rFonts w:hint="eastAsia" w:ascii="黑体" w:hAnsi="黑体" w:eastAsia="黑体" w:cs="黑体"/>
          <w:kern w:val="0"/>
          <w:sz w:val="32"/>
          <w:szCs w:val="32"/>
          <w:lang w:eastAsia="zh-CN" w:bidi="ar"/>
        </w:rPr>
        <w:t>三、主要任务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（一）明确配建要求。</w:t>
      </w:r>
      <w:r>
        <w:rPr>
          <w:rFonts w:hint="eastAsia" w:ascii="仿宋" w:hAnsi="仿宋" w:eastAsia="仿宋" w:cs="仿宋"/>
          <w:sz w:val="32"/>
          <w:szCs w:val="32"/>
          <w:lang w:eastAsia="zh-CN"/>
        </w:rPr>
        <w:t>将充电设施建设要求纳入工程建设标准；新建公共建筑物停车场和社会公共停车场，按不少于规划停车位20％的比例配建电动汽车充电桩；新建住宅小区汽车停车位应全部预留充电桩建设安装条件，配建的充电桩原则上不少于规划停车位的10%；电动自行车充电桩安装数量不得少于小区住户户数的10%。</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sz w:val="32"/>
          <w:szCs w:val="32"/>
          <w:lang w:eastAsia="zh-CN"/>
        </w:rPr>
      </w:pPr>
      <w:r>
        <w:rPr>
          <w:rFonts w:hint="eastAsia" w:ascii="楷体" w:hAnsi="楷体" w:eastAsia="楷体" w:cs="楷体"/>
          <w:sz w:val="32"/>
          <w:szCs w:val="32"/>
          <w:lang w:eastAsia="zh-CN"/>
        </w:rPr>
        <w:t>（二）健全管理机制。</w:t>
      </w:r>
      <w:r>
        <w:rPr>
          <w:rFonts w:hint="eastAsia" w:ascii="仿宋" w:hAnsi="仿宋" w:eastAsia="仿宋"/>
          <w:sz w:val="32"/>
          <w:szCs w:val="32"/>
          <w:lang w:eastAsia="zh-CN"/>
        </w:rPr>
        <w:t>建立健全充电设施建设、运营管理、安全保障和监管机制，明确部门职责和分工，加强综合协调，实现充电设施建设各责任单位互联互通，加快主城区充电服务体系建设。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sz w:val="32"/>
          <w:szCs w:val="32"/>
          <w:lang w:eastAsia="zh-CN"/>
        </w:rPr>
      </w:pPr>
      <w:r>
        <w:rPr>
          <w:rFonts w:hint="eastAsia" w:ascii="楷体" w:hAnsi="楷体" w:eastAsia="楷体" w:cs="楷体"/>
          <w:kern w:val="0"/>
          <w:sz w:val="32"/>
          <w:szCs w:val="32"/>
          <w:lang w:bidi="ar"/>
        </w:rPr>
        <w:t>（</w:t>
      </w:r>
      <w:r>
        <w:rPr>
          <w:rFonts w:hint="eastAsia" w:ascii="楷体" w:hAnsi="楷体" w:eastAsia="楷体" w:cs="楷体"/>
          <w:kern w:val="0"/>
          <w:sz w:val="32"/>
          <w:szCs w:val="32"/>
          <w:lang w:val="en-US" w:eastAsia="zh-CN" w:bidi="ar"/>
        </w:rPr>
        <w:t>三</w:t>
      </w:r>
      <w:r>
        <w:rPr>
          <w:rFonts w:hint="eastAsia" w:ascii="楷体" w:hAnsi="楷体" w:eastAsia="楷体" w:cs="楷体"/>
          <w:kern w:val="0"/>
          <w:sz w:val="32"/>
          <w:szCs w:val="32"/>
          <w:lang w:bidi="ar"/>
        </w:rPr>
        <w:t>）简化报建手续。</w:t>
      </w:r>
      <w:r>
        <w:rPr>
          <w:rFonts w:hint="eastAsia" w:ascii="仿宋" w:hAnsi="仿宋" w:eastAsia="仿宋" w:cs="仿宋"/>
          <w:kern w:val="0"/>
          <w:sz w:val="32"/>
          <w:szCs w:val="32"/>
          <w:lang w:bidi="ar"/>
        </w:rPr>
        <w:t>个人在自有停车库、停车位，各居住区、单位在已有停车泊位安装电动汽车充电设施的，无需办理建设用地规划许可证、建设工程规划许可证和施工许可证。建设城市公共停车场（楼）时，无需为同步建设电动汽车充电桩群等充电基础设施单独办理建设工程规划许可证和施工许可证。新建单独占地的集中式充电站应符合城市规划，并办理建设用地规划许可证、建设工程规划许可证和施工许可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）加强配套电网建设。</w:t>
      </w:r>
      <w:r>
        <w:rPr>
          <w:rFonts w:hint="eastAsia" w:ascii="仿宋" w:hAnsi="仿宋" w:eastAsia="仿宋" w:cs="仿宋"/>
          <w:sz w:val="32"/>
          <w:szCs w:val="32"/>
          <w:lang w:eastAsia="zh-CN"/>
        </w:rPr>
        <w:t>根据各类停车场、城市干道、住宅小区、建筑物配建充电基础设施需求，合理提高用电设计标准，修改完善相关标准规范。电网企业应加强充电基础设施配套电网建设与改造，为充电基础设施接入电网提供便利服务，保障充电基础设施无障碍接入，并不得收取接网费用，确保电力供应满足充电基础设施运营需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）构建服务平台。</w:t>
      </w:r>
      <w:r>
        <w:rPr>
          <w:rFonts w:hint="eastAsia" w:ascii="仿宋" w:hAnsi="仿宋" w:eastAsia="仿宋" w:cs="仿宋"/>
          <w:sz w:val="32"/>
          <w:szCs w:val="32"/>
          <w:lang w:eastAsia="zh-CN"/>
        </w:rPr>
        <w:t>建设运营单位通过“互联网＋充电基础设施”，融合互联网、物联网、智能、大数据等技术，建设充电智能服务平台，提高充电服务智能化水平，构建统一信息交换、促进互联互通的充电基础设施信息服务平台。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lang w:eastAsia="zh-CN"/>
        </w:rPr>
        <w:t>）引入社会资本。</w:t>
      </w:r>
      <w:r>
        <w:rPr>
          <w:rFonts w:hint="eastAsia" w:ascii="仿宋" w:hAnsi="仿宋" w:eastAsia="仿宋" w:cs="仿宋"/>
          <w:color w:val="auto"/>
          <w:sz w:val="32"/>
          <w:szCs w:val="32"/>
          <w:lang w:eastAsia="zh-CN"/>
        </w:rPr>
        <w:t>有效整合公交、出租车场站以及社会公共停车场等各类公共资源，</w:t>
      </w:r>
      <w:r>
        <w:rPr>
          <w:rFonts w:hint="eastAsia" w:ascii="仿宋" w:hAnsi="仿宋" w:eastAsia="仿宋" w:cs="仿宋"/>
          <w:sz w:val="32"/>
          <w:szCs w:val="32"/>
          <w:lang w:eastAsia="zh-CN"/>
        </w:rPr>
        <w:t>加快充电基础设施项目建设；</w:t>
      </w:r>
      <w:r>
        <w:rPr>
          <w:rFonts w:hint="eastAsia" w:ascii="仿宋" w:hAnsi="仿宋" w:eastAsia="仿宋" w:cs="仿宋"/>
          <w:sz w:val="32"/>
          <w:szCs w:val="32"/>
          <w:lang w:val="en-US" w:eastAsia="zh-CN"/>
        </w:rPr>
        <w:t>吸引各类投资</w:t>
      </w:r>
      <w:r>
        <w:rPr>
          <w:rFonts w:hint="eastAsia" w:ascii="仿宋" w:hAnsi="仿宋" w:eastAsia="仿宋" w:cs="仿宋"/>
          <w:sz w:val="32"/>
          <w:szCs w:val="32"/>
          <w:lang w:eastAsia="zh-CN"/>
        </w:rPr>
        <w:t>主体建设运营公共服务领域充电基础设施、城市公共充电网络。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七</w:t>
      </w:r>
      <w:r>
        <w:rPr>
          <w:rFonts w:hint="eastAsia" w:ascii="楷体" w:hAnsi="楷体" w:eastAsia="楷体" w:cs="楷体"/>
          <w:sz w:val="32"/>
          <w:szCs w:val="32"/>
          <w:lang w:eastAsia="zh-CN"/>
        </w:rPr>
        <w:t>）加强安全管理。</w:t>
      </w:r>
      <w:r>
        <w:rPr>
          <w:rFonts w:hint="eastAsia" w:ascii="仿宋" w:hAnsi="仿宋" w:eastAsia="仿宋" w:cs="仿宋"/>
          <w:sz w:val="32"/>
          <w:szCs w:val="32"/>
          <w:lang w:eastAsia="zh-CN"/>
        </w:rPr>
        <w:t>依法依规对充电基础设施设置场所实施消防设计审核、消防验收以及备案抽查。物业管理单位或运营单位要加强对充电基础设施及其设置场所的日常消防安全检查及管理，及时消除安全隐患。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eastAsia="zh-CN"/>
        </w:rPr>
        <w:t>（八）推动工作落实。</w:t>
      </w:r>
      <w:r>
        <w:rPr>
          <w:rFonts w:hint="eastAsia" w:ascii="仿宋" w:hAnsi="仿宋" w:eastAsia="仿宋" w:cs="仿宋"/>
          <w:sz w:val="32"/>
          <w:szCs w:val="32"/>
          <w:lang w:eastAsia="zh-CN"/>
        </w:rPr>
        <w:t>按照</w:t>
      </w:r>
      <w:r>
        <w:rPr>
          <w:rFonts w:hint="eastAsia" w:ascii="仿宋" w:hAnsi="仿宋" w:eastAsia="仿宋"/>
          <w:sz w:val="32"/>
          <w:szCs w:val="32"/>
        </w:rPr>
        <w:t>《宿州市电动汽车充电基础设施建设规划（2017-2030）》</w:t>
      </w:r>
      <w:r>
        <w:rPr>
          <w:rFonts w:hint="eastAsia" w:ascii="仿宋" w:hAnsi="仿宋" w:eastAsia="仿宋"/>
          <w:sz w:val="32"/>
          <w:szCs w:val="32"/>
          <w:lang w:eastAsia="zh-CN"/>
        </w:rPr>
        <w:t>任务</w:t>
      </w:r>
      <w:r>
        <w:rPr>
          <w:rFonts w:hint="eastAsia" w:ascii="仿宋" w:hAnsi="仿宋" w:eastAsia="仿宋" w:cs="仿宋"/>
          <w:sz w:val="32"/>
          <w:szCs w:val="32"/>
          <w:lang w:eastAsia="zh-CN"/>
        </w:rPr>
        <w:t>和创建全国文明城市关于自行车充电桩建设要求，统筹安排，科学有序推动</w:t>
      </w:r>
      <w:r>
        <w:rPr>
          <w:rFonts w:hint="eastAsia" w:ascii="仿宋" w:hAnsi="仿宋" w:eastAsia="仿宋"/>
          <w:sz w:val="32"/>
          <w:szCs w:val="32"/>
        </w:rPr>
        <w:t>充电基础设施建设</w:t>
      </w:r>
      <w:r>
        <w:rPr>
          <w:rFonts w:hint="eastAsia" w:ascii="仿宋" w:hAnsi="仿宋" w:eastAsia="仿宋"/>
          <w:sz w:val="32"/>
          <w:szCs w:val="32"/>
          <w:lang w:eastAsia="zh-CN"/>
        </w:rPr>
        <w:t>各项</w:t>
      </w:r>
      <w:r>
        <w:rPr>
          <w:rFonts w:hint="eastAsia" w:ascii="仿宋" w:hAnsi="仿宋" w:eastAsia="仿宋" w:cs="仿宋"/>
          <w:sz w:val="32"/>
          <w:szCs w:val="32"/>
          <w:lang w:eastAsia="zh-CN"/>
        </w:rPr>
        <w:t>工作落实。</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kern w:val="0"/>
          <w:sz w:val="32"/>
          <w:szCs w:val="32"/>
          <w:lang w:bidi="ar"/>
        </w:rPr>
      </w:pPr>
      <w:r>
        <w:rPr>
          <w:rFonts w:hint="eastAsia" w:ascii="楷体" w:hAnsi="楷体" w:eastAsia="楷体" w:cs="楷体"/>
          <w:color w:val="auto"/>
          <w:kern w:val="0"/>
          <w:sz w:val="32"/>
          <w:szCs w:val="32"/>
          <w:lang w:bidi="ar"/>
        </w:rPr>
        <w:t>(一)加强组织领导，强化部门联动。</w:t>
      </w:r>
      <w:r>
        <w:rPr>
          <w:rFonts w:hint="eastAsia" w:ascii="仿宋" w:hAnsi="仿宋" w:eastAsia="仿宋" w:cs="仿宋"/>
          <w:kern w:val="0"/>
          <w:sz w:val="32"/>
          <w:szCs w:val="32"/>
          <w:lang w:bidi="ar"/>
        </w:rPr>
        <w:t>市政府</w:t>
      </w:r>
      <w:r>
        <w:rPr>
          <w:rFonts w:hint="eastAsia" w:ascii="仿宋" w:hAnsi="仿宋" w:eastAsia="仿宋" w:cs="仿宋"/>
          <w:kern w:val="0"/>
          <w:sz w:val="32"/>
          <w:szCs w:val="32"/>
          <w:lang w:eastAsia="zh-CN" w:bidi="ar"/>
        </w:rPr>
        <w:t>成立主城区</w:t>
      </w:r>
      <w:r>
        <w:rPr>
          <w:rFonts w:hint="eastAsia" w:ascii="仿宋" w:hAnsi="仿宋" w:eastAsia="仿宋" w:cs="仿宋"/>
          <w:kern w:val="0"/>
          <w:sz w:val="32"/>
          <w:szCs w:val="32"/>
          <w:lang w:bidi="ar"/>
        </w:rPr>
        <w:t>电动汽车</w:t>
      </w:r>
      <w:r>
        <w:rPr>
          <w:rFonts w:hint="eastAsia" w:ascii="仿宋" w:hAnsi="仿宋" w:eastAsia="仿宋" w:cs="仿宋"/>
          <w:kern w:val="0"/>
          <w:sz w:val="32"/>
          <w:szCs w:val="32"/>
          <w:lang w:eastAsia="zh-CN" w:bidi="ar"/>
        </w:rPr>
        <w:t>和电动自行车</w:t>
      </w:r>
      <w:r>
        <w:rPr>
          <w:rFonts w:hint="eastAsia" w:ascii="仿宋" w:hAnsi="仿宋" w:eastAsia="仿宋" w:cs="仿宋"/>
          <w:kern w:val="0"/>
          <w:sz w:val="32"/>
          <w:szCs w:val="32"/>
          <w:lang w:bidi="ar"/>
        </w:rPr>
        <w:t>充电</w:t>
      </w:r>
      <w:r>
        <w:rPr>
          <w:rFonts w:hint="eastAsia" w:ascii="仿宋" w:hAnsi="仿宋" w:eastAsia="仿宋" w:cs="仿宋"/>
          <w:kern w:val="0"/>
          <w:sz w:val="32"/>
          <w:szCs w:val="32"/>
          <w:lang w:eastAsia="zh-CN" w:bidi="ar"/>
        </w:rPr>
        <w:t>设施</w:t>
      </w:r>
      <w:r>
        <w:rPr>
          <w:rFonts w:hint="eastAsia" w:ascii="仿宋" w:hAnsi="仿宋" w:eastAsia="仿宋" w:cs="仿宋"/>
          <w:kern w:val="0"/>
          <w:sz w:val="32"/>
          <w:szCs w:val="32"/>
          <w:lang w:bidi="ar"/>
        </w:rPr>
        <w:t>建设</w:t>
      </w:r>
      <w:r>
        <w:rPr>
          <w:rFonts w:hint="eastAsia" w:ascii="仿宋" w:hAnsi="仿宋" w:eastAsia="仿宋" w:cs="仿宋"/>
          <w:kern w:val="0"/>
          <w:sz w:val="32"/>
          <w:szCs w:val="32"/>
          <w:lang w:eastAsia="zh-CN" w:bidi="ar"/>
        </w:rPr>
        <w:t>工作领导小组，领导小组办公室设在市交旅集团，</w:t>
      </w:r>
      <w:r>
        <w:rPr>
          <w:rFonts w:ascii="仿宋_GB2312" w:hAnsi="微软雅黑" w:eastAsia="仿宋_GB2312" w:cs="仿宋_GB2312"/>
          <w:color w:val="333333"/>
          <w:kern w:val="0"/>
          <w:sz w:val="32"/>
          <w:szCs w:val="32"/>
          <w:shd w:val="clear" w:fill="FFFFFF"/>
          <w:lang w:val="en-US" w:eastAsia="zh-CN" w:bidi="ar"/>
        </w:rPr>
        <w:t>负责统筹推进</w:t>
      </w:r>
      <w:r>
        <w:rPr>
          <w:rFonts w:hint="eastAsia" w:ascii="仿宋_GB2312" w:hAnsi="微软雅黑" w:eastAsia="仿宋_GB2312" w:cs="仿宋_GB2312"/>
          <w:color w:val="333333"/>
          <w:kern w:val="0"/>
          <w:sz w:val="32"/>
          <w:szCs w:val="32"/>
          <w:shd w:val="clear" w:fill="FFFFFF"/>
          <w:lang w:val="en-US" w:eastAsia="zh-CN" w:bidi="ar"/>
        </w:rPr>
        <w:t>主城区</w:t>
      </w:r>
      <w:r>
        <w:rPr>
          <w:rFonts w:ascii="仿宋_GB2312" w:hAnsi="微软雅黑" w:eastAsia="仿宋_GB2312" w:cs="仿宋_GB2312"/>
          <w:color w:val="333333"/>
          <w:kern w:val="0"/>
          <w:sz w:val="32"/>
          <w:szCs w:val="32"/>
          <w:shd w:val="clear" w:fill="FFFFFF"/>
          <w:lang w:val="en-US" w:eastAsia="zh-CN" w:bidi="ar"/>
        </w:rPr>
        <w:t>充电基础设施建设管理</w:t>
      </w:r>
      <w:r>
        <w:rPr>
          <w:rFonts w:hint="eastAsia" w:ascii="仿宋_GB2312" w:hAnsi="微软雅黑" w:eastAsia="仿宋_GB2312" w:cs="仿宋_GB2312"/>
          <w:color w:val="333333"/>
          <w:kern w:val="0"/>
          <w:sz w:val="32"/>
          <w:szCs w:val="32"/>
          <w:shd w:val="clear" w:fill="FFFFFF"/>
          <w:lang w:val="en-US" w:eastAsia="zh-CN" w:bidi="ar"/>
        </w:rPr>
        <w:t>运营和协调</w:t>
      </w:r>
      <w:r>
        <w:rPr>
          <w:rFonts w:ascii="仿宋_GB2312" w:hAnsi="微软雅黑" w:eastAsia="仿宋_GB2312" w:cs="仿宋_GB2312"/>
          <w:color w:val="333333"/>
          <w:kern w:val="0"/>
          <w:sz w:val="32"/>
          <w:szCs w:val="32"/>
          <w:shd w:val="clear" w:fill="FFFFFF"/>
          <w:lang w:val="en-US" w:eastAsia="zh-CN" w:bidi="ar"/>
        </w:rPr>
        <w:t>工作</w:t>
      </w:r>
      <w:r>
        <w:rPr>
          <w:rFonts w:hint="eastAsia" w:ascii="仿宋_GB2312" w:hAnsi="微软雅黑" w:eastAsia="仿宋_GB2312" w:cs="仿宋_GB2312"/>
          <w:color w:val="333333"/>
          <w:kern w:val="0"/>
          <w:sz w:val="32"/>
          <w:szCs w:val="32"/>
          <w:shd w:val="clear" w:fill="FFFFFF"/>
          <w:lang w:val="en-US" w:eastAsia="zh-CN" w:bidi="ar"/>
        </w:rPr>
        <w:t>。</w:t>
      </w:r>
      <w:r>
        <w:rPr>
          <w:rFonts w:hint="eastAsia" w:ascii="仿宋" w:hAnsi="仿宋" w:eastAsia="仿宋" w:cs="仿宋"/>
          <w:kern w:val="0"/>
          <w:sz w:val="32"/>
          <w:szCs w:val="32"/>
          <w:lang w:bidi="ar"/>
        </w:rPr>
        <w:t>各相关单位要从工作大局出发，以高度负责的精神，充分认识充电</w:t>
      </w:r>
      <w:r>
        <w:rPr>
          <w:rFonts w:hint="eastAsia" w:ascii="仿宋" w:hAnsi="仿宋" w:eastAsia="仿宋" w:cs="仿宋"/>
          <w:kern w:val="0"/>
          <w:sz w:val="32"/>
          <w:szCs w:val="32"/>
          <w:lang w:eastAsia="zh-CN" w:bidi="ar"/>
        </w:rPr>
        <w:t>设施建设</w:t>
      </w:r>
      <w:r>
        <w:rPr>
          <w:rFonts w:hint="eastAsia" w:ascii="仿宋" w:hAnsi="仿宋" w:eastAsia="仿宋" w:cs="仿宋"/>
          <w:kern w:val="0"/>
          <w:sz w:val="32"/>
          <w:szCs w:val="32"/>
          <w:lang w:bidi="ar"/>
        </w:rPr>
        <w:t>的现实意义，科学规划，依法履职，精心组织，协调配合，务求实效。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楷体" w:hAnsi="楷体" w:eastAsia="楷体" w:cs="楷体"/>
          <w:kern w:val="0"/>
          <w:sz w:val="32"/>
          <w:szCs w:val="32"/>
          <w:lang w:bidi="ar"/>
        </w:rPr>
      </w:pPr>
      <w:r>
        <w:rPr>
          <w:rFonts w:hint="eastAsia" w:ascii="楷体" w:hAnsi="楷体" w:eastAsia="楷体" w:cs="楷体"/>
          <w:kern w:val="0"/>
          <w:sz w:val="32"/>
          <w:szCs w:val="32"/>
          <w:lang w:bidi="ar"/>
        </w:rPr>
        <w:t>（</w:t>
      </w:r>
      <w:r>
        <w:rPr>
          <w:rFonts w:hint="eastAsia" w:ascii="楷体" w:hAnsi="楷体" w:eastAsia="楷体" w:cs="楷体"/>
          <w:kern w:val="0"/>
          <w:sz w:val="32"/>
          <w:szCs w:val="32"/>
          <w:lang w:val="en-US" w:eastAsia="zh-CN" w:bidi="ar"/>
        </w:rPr>
        <w:t>二</w:t>
      </w:r>
      <w:r>
        <w:rPr>
          <w:rFonts w:hint="eastAsia" w:ascii="楷体" w:hAnsi="楷体" w:eastAsia="楷体" w:cs="楷体"/>
          <w:kern w:val="0"/>
          <w:sz w:val="32"/>
          <w:szCs w:val="32"/>
          <w:lang w:bidi="ar"/>
        </w:rPr>
        <w:t>）营造舆论环境。</w:t>
      </w:r>
      <w:r>
        <w:rPr>
          <w:rFonts w:hint="eastAsia" w:ascii="仿宋" w:hAnsi="仿宋" w:eastAsia="仿宋" w:cs="仿宋"/>
          <w:kern w:val="0"/>
          <w:sz w:val="32"/>
          <w:szCs w:val="32"/>
          <w:lang w:bidi="ar"/>
        </w:rPr>
        <w:t>通过电视、广播、报刊、网络等媒体，宣传充电设施的使用及发展成果，不断提高全社会的认知度和接受度。同时加强舆论监督，曝光阻碍充电设施建设、损害消费者权益等行为，形成有利于充电基础设施发展的舆论氛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kern w:val="0"/>
          <w:sz w:val="32"/>
          <w:szCs w:val="32"/>
          <w:lang w:bidi="ar"/>
        </w:rPr>
      </w:pPr>
      <w:r>
        <w:rPr>
          <w:rFonts w:hint="eastAsia" w:ascii="楷体" w:hAnsi="楷体" w:eastAsia="楷体" w:cs="楷体"/>
          <w:kern w:val="0"/>
          <w:sz w:val="32"/>
          <w:szCs w:val="32"/>
          <w:lang w:bidi="ar"/>
        </w:rPr>
        <w:t>（</w:t>
      </w:r>
      <w:r>
        <w:rPr>
          <w:rFonts w:hint="eastAsia" w:ascii="楷体" w:hAnsi="楷体" w:eastAsia="楷体" w:cs="楷体"/>
          <w:kern w:val="0"/>
          <w:sz w:val="32"/>
          <w:szCs w:val="32"/>
          <w:lang w:val="en-US" w:eastAsia="zh-CN" w:bidi="ar"/>
        </w:rPr>
        <w:t>三</w:t>
      </w:r>
      <w:r>
        <w:rPr>
          <w:rFonts w:hint="eastAsia" w:ascii="楷体" w:hAnsi="楷体" w:eastAsia="楷体" w:cs="楷体"/>
          <w:kern w:val="0"/>
          <w:sz w:val="32"/>
          <w:szCs w:val="32"/>
          <w:lang w:bidi="ar"/>
        </w:rPr>
        <w:t>）完善有关政策。</w:t>
      </w:r>
      <w:r>
        <w:rPr>
          <w:rFonts w:hint="eastAsia" w:ascii="仿宋" w:hAnsi="仿宋" w:eastAsia="仿宋" w:cs="仿宋"/>
          <w:kern w:val="0"/>
          <w:sz w:val="32"/>
          <w:szCs w:val="32"/>
          <w:lang w:eastAsia="zh-CN" w:bidi="ar"/>
        </w:rPr>
        <w:t>针对不同类别充电基础设施，</w:t>
      </w:r>
      <w:r>
        <w:rPr>
          <w:rFonts w:hint="eastAsia" w:ascii="仿宋" w:hAnsi="仿宋" w:eastAsia="仿宋" w:cs="仿宋"/>
          <w:kern w:val="0"/>
          <w:sz w:val="32"/>
          <w:szCs w:val="32"/>
          <w:lang w:bidi="ar"/>
        </w:rPr>
        <w:t>允许充电服务企业用户收取电费及服务费</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bidi="ar"/>
        </w:rPr>
        <w:t>出台我市充电</w:t>
      </w:r>
      <w:r>
        <w:rPr>
          <w:rFonts w:hint="eastAsia" w:ascii="仿宋" w:hAnsi="仿宋" w:eastAsia="仿宋" w:cs="仿宋"/>
          <w:kern w:val="0"/>
          <w:sz w:val="32"/>
          <w:szCs w:val="32"/>
          <w:lang w:eastAsia="zh-CN" w:bidi="ar"/>
        </w:rPr>
        <w:t>设施电价标准和</w:t>
      </w:r>
      <w:r>
        <w:rPr>
          <w:rFonts w:hint="eastAsia" w:ascii="仿宋" w:hAnsi="仿宋" w:eastAsia="仿宋" w:cs="仿宋"/>
          <w:kern w:val="0"/>
          <w:sz w:val="32"/>
          <w:szCs w:val="32"/>
          <w:lang w:bidi="ar"/>
        </w:rPr>
        <w:t xml:space="preserve">服务费试行标准。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kern w:val="0"/>
          <w:sz w:val="32"/>
          <w:szCs w:val="32"/>
          <w:lang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 w:hAnsi="仿宋" w:eastAsia="仿宋" w:cs="仿宋"/>
          <w:kern w:val="0"/>
          <w:sz w:val="32"/>
          <w:szCs w:val="32"/>
          <w:lang w:eastAsia="zh-CN" w:bidi="ar"/>
        </w:rPr>
      </w:pPr>
      <w:r>
        <w:rPr>
          <w:rFonts w:hint="eastAsia" w:ascii="仿宋" w:hAnsi="仿宋" w:eastAsia="仿宋" w:cs="仿宋"/>
          <w:kern w:val="0"/>
          <w:sz w:val="32"/>
          <w:szCs w:val="32"/>
          <w:lang w:eastAsia="zh-CN" w:bidi="ar"/>
        </w:rPr>
        <w:t>附件：</w:t>
      </w:r>
      <w:r>
        <w:rPr>
          <w:rFonts w:hint="eastAsia" w:ascii="仿宋" w:hAnsi="仿宋" w:eastAsia="仿宋" w:cs="仿宋"/>
          <w:kern w:val="0"/>
          <w:sz w:val="32"/>
          <w:szCs w:val="32"/>
          <w:lang w:val="en-US" w:eastAsia="zh-CN" w:bidi="ar"/>
        </w:rPr>
        <w:t>1.</w:t>
      </w:r>
      <w:r>
        <w:rPr>
          <w:rFonts w:hint="eastAsia" w:ascii="仿宋" w:hAnsi="仿宋" w:eastAsia="仿宋" w:cs="仿宋"/>
          <w:kern w:val="0"/>
          <w:sz w:val="32"/>
          <w:szCs w:val="32"/>
          <w:lang w:eastAsia="zh-CN" w:bidi="ar"/>
        </w:rPr>
        <w:t>重点工作任务分工表</w:t>
      </w:r>
    </w:p>
    <w:p>
      <w:pPr>
        <w:widowControl/>
        <w:spacing w:before="150"/>
        <w:jc w:val="center"/>
        <w:rPr>
          <w:rFonts w:hint="eastAsia" w:ascii="宋体" w:hAnsi="宋体" w:cs="宋体"/>
          <w:b/>
          <w:bCs/>
          <w:color w:val="333333"/>
          <w:kern w:val="0"/>
          <w:sz w:val="44"/>
          <w:szCs w:val="44"/>
          <w:lang w:eastAsia="zh-CN" w:bidi="ar"/>
        </w:rPr>
      </w:pPr>
    </w:p>
    <w:p>
      <w:pPr>
        <w:widowControl/>
        <w:spacing w:before="150"/>
        <w:jc w:val="center"/>
        <w:rPr>
          <w:rFonts w:hint="eastAsia" w:ascii="宋体" w:hAnsi="宋体" w:cs="宋体"/>
          <w:b/>
          <w:bCs/>
          <w:color w:val="333333"/>
          <w:kern w:val="0"/>
          <w:sz w:val="44"/>
          <w:szCs w:val="44"/>
          <w:lang w:eastAsia="zh-CN" w:bidi="ar"/>
        </w:rPr>
      </w:pPr>
    </w:p>
    <w:p>
      <w:pPr>
        <w:widowControl/>
        <w:spacing w:before="150"/>
        <w:jc w:val="left"/>
        <w:rPr>
          <w:rFonts w:hint="eastAsia" w:ascii="仿宋" w:hAnsi="仿宋" w:eastAsia="仿宋" w:cs="仿宋"/>
          <w:b w:val="0"/>
          <w:bCs w:val="0"/>
          <w:color w:val="333333"/>
          <w:kern w:val="0"/>
          <w:sz w:val="32"/>
          <w:szCs w:val="32"/>
          <w:lang w:val="en-US" w:eastAsia="zh-CN" w:bidi="ar"/>
        </w:rPr>
      </w:pPr>
      <w:r>
        <w:rPr>
          <w:rFonts w:hint="eastAsia" w:ascii="仿宋" w:hAnsi="仿宋" w:eastAsia="仿宋" w:cs="仿宋"/>
          <w:b w:val="0"/>
          <w:bCs w:val="0"/>
          <w:color w:val="333333"/>
          <w:kern w:val="0"/>
          <w:sz w:val="32"/>
          <w:szCs w:val="32"/>
          <w:lang w:eastAsia="zh-CN" w:bidi="ar"/>
        </w:rPr>
        <w:t>附件</w:t>
      </w:r>
      <w:r>
        <w:rPr>
          <w:rFonts w:hint="eastAsia" w:ascii="仿宋" w:hAnsi="仿宋" w:eastAsia="仿宋" w:cs="仿宋"/>
          <w:b w:val="0"/>
          <w:bCs w:val="0"/>
          <w:color w:val="333333"/>
          <w:kern w:val="0"/>
          <w:sz w:val="32"/>
          <w:szCs w:val="32"/>
          <w:lang w:val="en-US" w:eastAsia="zh-CN" w:bidi="ar"/>
        </w:rPr>
        <w:t>1</w:t>
      </w:r>
    </w:p>
    <w:p>
      <w:pPr>
        <w:widowControl/>
        <w:spacing w:before="150"/>
        <w:jc w:val="center"/>
        <w:rPr>
          <w:rFonts w:hint="eastAsia" w:ascii="宋体" w:hAnsi="宋体" w:cs="宋体"/>
          <w:b/>
          <w:bCs/>
          <w:color w:val="333333"/>
          <w:kern w:val="0"/>
          <w:sz w:val="44"/>
          <w:szCs w:val="44"/>
          <w:lang w:bidi="ar"/>
        </w:rPr>
      </w:pPr>
      <w:r>
        <w:rPr>
          <w:rFonts w:hint="eastAsia" w:ascii="宋体" w:hAnsi="宋体" w:cs="宋体"/>
          <w:b/>
          <w:bCs/>
          <w:color w:val="333333"/>
          <w:kern w:val="0"/>
          <w:sz w:val="44"/>
          <w:szCs w:val="44"/>
          <w:lang w:eastAsia="zh-CN" w:bidi="ar"/>
        </w:rPr>
        <w:t>重点</w:t>
      </w:r>
      <w:r>
        <w:rPr>
          <w:rFonts w:hint="eastAsia" w:ascii="宋体" w:hAnsi="宋体" w:cs="宋体"/>
          <w:b/>
          <w:bCs/>
          <w:color w:val="333333"/>
          <w:kern w:val="0"/>
          <w:sz w:val="44"/>
          <w:szCs w:val="44"/>
          <w:lang w:bidi="ar"/>
        </w:rPr>
        <w:t>工作任务分工表</w:t>
      </w:r>
    </w:p>
    <w:p>
      <w:pPr>
        <w:widowControl/>
        <w:spacing w:before="150"/>
        <w:jc w:val="center"/>
        <w:rPr>
          <w:rFonts w:hint="eastAsia" w:ascii="宋体" w:hAnsi="宋体" w:cs="宋体"/>
          <w:b/>
          <w:bCs/>
          <w:color w:val="333333"/>
          <w:kern w:val="0"/>
          <w:sz w:val="13"/>
          <w:szCs w:val="13"/>
          <w:lang w:bidi="ar"/>
        </w:rPr>
      </w:pPr>
    </w:p>
    <w:tbl>
      <w:tblPr>
        <w:tblStyle w:val="4"/>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4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序号</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工作任务</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仿宋" w:hAnsi="仿宋" w:eastAsia="仿宋" w:cs="仿宋"/>
                <w:sz w:val="24"/>
                <w:szCs w:val="24"/>
              </w:rPr>
            </w:pPr>
            <w:r>
              <w:rPr>
                <w:rFonts w:hint="eastAsia" w:ascii="仿宋" w:hAnsi="仿宋" w:eastAsia="仿宋" w:cs="仿宋"/>
                <w:b w:val="0"/>
                <w:bCs w:val="0"/>
                <w:sz w:val="24"/>
                <w:szCs w:val="24"/>
              </w:rPr>
              <w:t>1</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kern w:val="0"/>
                <w:sz w:val="24"/>
                <w:szCs w:val="24"/>
                <w:lang w:bidi="ar"/>
              </w:rPr>
              <w:t>负责本辖区充电</w:t>
            </w:r>
            <w:r>
              <w:rPr>
                <w:rFonts w:hint="eastAsia" w:ascii="仿宋" w:hAnsi="仿宋" w:eastAsia="仿宋" w:cs="仿宋"/>
                <w:kern w:val="0"/>
                <w:sz w:val="24"/>
                <w:szCs w:val="24"/>
                <w:lang w:eastAsia="zh-CN" w:bidi="ar"/>
              </w:rPr>
              <w:t>设施</w:t>
            </w:r>
            <w:r>
              <w:rPr>
                <w:rFonts w:hint="eastAsia" w:ascii="仿宋" w:hAnsi="仿宋" w:eastAsia="仿宋" w:cs="仿宋"/>
                <w:kern w:val="0"/>
                <w:sz w:val="24"/>
                <w:szCs w:val="24"/>
                <w:lang w:bidi="ar"/>
              </w:rPr>
              <w:t>需求统计</w:t>
            </w:r>
            <w:r>
              <w:rPr>
                <w:rFonts w:hint="eastAsia" w:ascii="仿宋" w:hAnsi="仿宋" w:eastAsia="仿宋" w:cs="仿宋"/>
                <w:kern w:val="0"/>
                <w:sz w:val="24"/>
                <w:szCs w:val="24"/>
                <w:lang w:eastAsia="zh-CN" w:bidi="ar"/>
              </w:rPr>
              <w:t>，配合</w:t>
            </w:r>
            <w:r>
              <w:rPr>
                <w:rFonts w:hint="eastAsia" w:ascii="仿宋" w:hAnsi="仿宋" w:eastAsia="仿宋" w:cs="仿宋"/>
                <w:kern w:val="0"/>
                <w:sz w:val="24"/>
                <w:szCs w:val="24"/>
                <w:lang w:val="en-US" w:eastAsia="zh-CN" w:bidi="ar"/>
              </w:rPr>
              <w:t>做好充电桩</w:t>
            </w:r>
            <w:r>
              <w:rPr>
                <w:rFonts w:hint="eastAsia" w:ascii="仿宋" w:hAnsi="仿宋" w:eastAsia="仿宋" w:cs="仿宋"/>
                <w:kern w:val="0"/>
                <w:sz w:val="24"/>
                <w:szCs w:val="24"/>
                <w:lang w:eastAsia="zh-CN" w:bidi="ar"/>
              </w:rPr>
              <w:t>安装建设工作，免费提供分散式充电基础设施建设用地。</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埇桥区、市管各园区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cs="仿宋"/>
                <w:sz w:val="24"/>
                <w:szCs w:val="24"/>
                <w:lang w:val="en-US"/>
              </w:rPr>
            </w:pPr>
            <w:r>
              <w:rPr>
                <w:rFonts w:hint="eastAsia" w:ascii="仿宋" w:hAnsi="仿宋" w:eastAsia="仿宋" w:cs="仿宋"/>
                <w:color w:val="auto"/>
                <w:kern w:val="0"/>
                <w:sz w:val="24"/>
                <w:szCs w:val="24"/>
                <w:lang w:val="en-US" w:eastAsia="zh-CN" w:bidi="ar"/>
              </w:rPr>
              <w:t>出台我市充电设施电价标准和服务费试行标准。</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cs="仿宋"/>
                <w:sz w:val="24"/>
                <w:szCs w:val="24"/>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仿宋" w:hAnsi="仿宋" w:eastAsia="仿宋"/>
                <w:sz w:val="24"/>
                <w:szCs w:val="24"/>
                <w:lang w:val="en-US" w:eastAsia="zh-CN"/>
              </w:rPr>
            </w:pPr>
            <w:r>
              <w:rPr>
                <w:rFonts w:hint="eastAsia" w:ascii="仿宋" w:hAnsi="仿宋" w:eastAsia="仿宋"/>
                <w:sz w:val="24"/>
                <w:szCs w:val="24"/>
                <w:lang w:eastAsia="zh-CN"/>
              </w:rPr>
              <w:t>配合做好城市道路两侧及公共区域停车位加装充电桩各项工作</w:t>
            </w:r>
            <w:r>
              <w:rPr>
                <w:rFonts w:hint="eastAsia" w:ascii="仿宋" w:hAnsi="仿宋" w:eastAsia="仿宋"/>
                <w:sz w:val="24"/>
                <w:szCs w:val="24"/>
                <w:lang w:val="en-US" w:eastAsia="zh-CN"/>
              </w:rPr>
              <w:t>，免费提供建设用地，并减免相关费用。</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市城管局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eastAsia="zh-CN" w:bidi="ar"/>
              </w:rPr>
            </w:pPr>
            <w:r>
              <w:rPr>
                <w:rFonts w:hint="eastAsia" w:ascii="仿宋" w:hAnsi="仿宋" w:eastAsia="仿宋" w:cs="仿宋"/>
                <w:kern w:val="0"/>
                <w:sz w:val="24"/>
                <w:szCs w:val="24"/>
                <w:lang w:bidi="ar"/>
              </w:rPr>
              <w:t>为充电桩运维平台建设</w:t>
            </w:r>
            <w:r>
              <w:rPr>
                <w:rFonts w:hint="eastAsia" w:ascii="仿宋" w:hAnsi="仿宋" w:eastAsia="仿宋" w:cs="仿宋"/>
                <w:kern w:val="0"/>
                <w:sz w:val="24"/>
                <w:szCs w:val="24"/>
                <w:lang w:eastAsia="zh-CN" w:bidi="ar"/>
              </w:rPr>
              <w:t>和</w:t>
            </w:r>
            <w:r>
              <w:rPr>
                <w:rFonts w:hint="eastAsia" w:ascii="仿宋" w:hAnsi="仿宋" w:eastAsia="仿宋" w:cs="仿宋"/>
                <w:kern w:val="0"/>
                <w:sz w:val="24"/>
                <w:szCs w:val="24"/>
                <w:lang w:bidi="ar"/>
              </w:rPr>
              <w:t>数据连接提供指导</w:t>
            </w:r>
            <w:r>
              <w:rPr>
                <w:rFonts w:hint="eastAsia" w:ascii="仿宋" w:hAnsi="仿宋" w:eastAsia="仿宋" w:cs="仿宋"/>
                <w:kern w:val="0"/>
                <w:sz w:val="24"/>
                <w:szCs w:val="24"/>
                <w:lang w:eastAsia="zh-CN" w:bidi="ar"/>
              </w:rPr>
              <w:t>。</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市数据资源局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sz w:val="24"/>
                <w:szCs w:val="24"/>
                <w:lang w:eastAsia="zh-CN"/>
              </w:rPr>
              <w:t>加强对新建各类停车场（位）充电桩配建比例的规划审查。</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sz w:val="24"/>
                <w:szCs w:val="24"/>
              </w:rPr>
            </w:pPr>
            <w:r>
              <w:rPr>
                <w:rFonts w:hint="eastAsia" w:ascii="仿宋" w:hAnsi="仿宋" w:eastAsia="仿宋" w:cs="仿宋"/>
                <w:kern w:val="0"/>
                <w:sz w:val="24"/>
                <w:szCs w:val="24"/>
                <w:lang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sz w:val="24"/>
                <w:szCs w:val="24"/>
                <w:lang w:eastAsia="zh-CN"/>
              </w:rPr>
            </w:pPr>
            <w:r>
              <w:rPr>
                <w:rFonts w:hint="eastAsia" w:ascii="仿宋" w:hAnsi="仿宋" w:eastAsia="仿宋"/>
                <w:sz w:val="24"/>
                <w:szCs w:val="24"/>
                <w:lang w:eastAsia="zh-CN"/>
              </w:rPr>
              <w:t xml:space="preserve">政府机关、公共机构及企事业单位，利用内部停车场资源，规划建设电动汽车和电动自行车专用停车位和充电设施。 </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市直有关部门及企事业单位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bidi="ar"/>
              </w:rPr>
              <w:t>依法依规对充电基础设施设置场所实施消防设计审核、消防验收以及备案抽查</w:t>
            </w:r>
            <w:r>
              <w:rPr>
                <w:rFonts w:hint="eastAsia" w:ascii="仿宋" w:hAnsi="仿宋" w:eastAsia="仿宋" w:cs="仿宋"/>
                <w:kern w:val="0"/>
                <w:sz w:val="24"/>
                <w:szCs w:val="24"/>
                <w:lang w:val="en-US" w:eastAsia="zh-CN" w:bidi="ar"/>
              </w:rPr>
              <w:t>。</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eastAsia="zh-CN" w:bidi="ar"/>
              </w:rPr>
            </w:pPr>
            <w:r>
              <w:rPr>
                <w:rFonts w:hint="eastAsia" w:ascii="仿宋" w:hAnsi="仿宋" w:eastAsia="仿宋" w:cs="仿宋"/>
                <w:kern w:val="0"/>
                <w:sz w:val="24"/>
                <w:szCs w:val="24"/>
                <w:lang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cs="仿宋"/>
                <w:kern w:val="0"/>
                <w:sz w:val="24"/>
                <w:szCs w:val="24"/>
                <w:lang w:bidi="ar"/>
              </w:rPr>
              <w:t>将充电桩</w:t>
            </w:r>
            <w:r>
              <w:rPr>
                <w:rFonts w:hint="eastAsia" w:ascii="仿宋" w:hAnsi="仿宋" w:eastAsia="仿宋" w:cs="仿宋"/>
                <w:kern w:val="0"/>
                <w:sz w:val="24"/>
                <w:szCs w:val="24"/>
                <w:lang w:val="en-US" w:eastAsia="zh-CN" w:bidi="ar"/>
              </w:rPr>
              <w:t>运行数据</w:t>
            </w:r>
            <w:r>
              <w:rPr>
                <w:rFonts w:hint="eastAsia" w:ascii="仿宋" w:hAnsi="仿宋" w:eastAsia="仿宋" w:cs="仿宋"/>
                <w:kern w:val="0"/>
                <w:sz w:val="24"/>
                <w:szCs w:val="24"/>
                <w:lang w:bidi="ar"/>
              </w:rPr>
              <w:t>接入智慧消防平台，</w:t>
            </w:r>
            <w:r>
              <w:rPr>
                <w:rFonts w:hint="eastAsia" w:ascii="仿宋" w:hAnsi="仿宋" w:eastAsia="仿宋"/>
                <w:sz w:val="24"/>
                <w:szCs w:val="24"/>
              </w:rPr>
              <w:t>加强消防监督检查</w:t>
            </w:r>
            <w:r>
              <w:rPr>
                <w:rFonts w:hint="eastAsia" w:ascii="仿宋" w:hAnsi="仿宋" w:eastAsia="仿宋"/>
                <w:sz w:val="24"/>
                <w:szCs w:val="24"/>
                <w:lang w:eastAsia="zh-CN"/>
              </w:rPr>
              <w:t>，及时消除安全隐患。</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市应急管理局、</w:t>
            </w:r>
            <w:r>
              <w:rPr>
                <w:rFonts w:hint="eastAsia" w:ascii="仿宋" w:hAnsi="仿宋" w:eastAsia="仿宋" w:cs="仿宋"/>
                <w:kern w:val="0"/>
                <w:sz w:val="24"/>
                <w:szCs w:val="24"/>
                <w:lang w:bidi="ar"/>
              </w:rPr>
              <w:t>市消防支队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lang w:eastAsia="zh-CN"/>
              </w:rPr>
            </w:pPr>
            <w:r>
              <w:rPr>
                <w:rFonts w:hint="eastAsia" w:ascii="仿宋" w:hAnsi="仿宋" w:eastAsia="仿宋"/>
                <w:sz w:val="24"/>
                <w:szCs w:val="24"/>
                <w:lang w:eastAsia="zh-CN"/>
              </w:rPr>
              <w:t>引入社会资本，按照市场化原则，统筹协调推进充电基础设施建设。</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sz w:val="24"/>
                <w:szCs w:val="24"/>
              </w:rPr>
            </w:pPr>
            <w:r>
              <w:rPr>
                <w:rFonts w:hint="eastAsia" w:ascii="仿宋" w:hAnsi="仿宋" w:eastAsia="仿宋" w:cs="仿宋"/>
                <w:sz w:val="24"/>
                <w:szCs w:val="24"/>
              </w:rPr>
              <w:t>市交旅集团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9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p>
        </w:tc>
        <w:tc>
          <w:tcPr>
            <w:tcW w:w="514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rPr>
            </w:pPr>
            <w:r>
              <w:rPr>
                <w:rFonts w:hint="eastAsia" w:ascii="仿宋" w:hAnsi="仿宋" w:eastAsia="仿宋"/>
                <w:sz w:val="24"/>
                <w:szCs w:val="24"/>
                <w:lang w:eastAsia="zh-CN"/>
              </w:rPr>
              <w:t>加强配套电网建设，</w:t>
            </w:r>
            <w:r>
              <w:rPr>
                <w:rFonts w:hint="eastAsia" w:ascii="仿宋" w:hAnsi="仿宋" w:eastAsia="仿宋"/>
                <w:sz w:val="24"/>
                <w:szCs w:val="24"/>
              </w:rPr>
              <w:t>保障充电基础设施无障碍接入，确保电力供应满足充电基础设施运营需求。</w:t>
            </w:r>
          </w:p>
        </w:tc>
        <w:tc>
          <w:tcPr>
            <w:tcW w:w="2385"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sz w:val="24"/>
                <w:szCs w:val="24"/>
              </w:rPr>
            </w:pPr>
            <w:r>
              <w:rPr>
                <w:rFonts w:hint="eastAsia" w:ascii="仿宋" w:hAnsi="仿宋" w:eastAsia="仿宋" w:cs="仿宋"/>
                <w:sz w:val="24"/>
                <w:szCs w:val="24"/>
              </w:rPr>
              <w:t>市供电公司</w:t>
            </w:r>
          </w:p>
        </w:tc>
      </w:tr>
    </w:tbl>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lang w:eastAsia="zh-CN" w:bidi="ar"/>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32"/>
          <w:szCs w:val="32"/>
          <w:lang w:eastAsia="zh-CN" w:bidi="ar"/>
        </w:rPr>
      </w:pPr>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15EC28"/>
    <w:multiLevelType w:val="singleLevel"/>
    <w:tmpl w:val="7B15E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B77CE"/>
    <w:rsid w:val="0109510F"/>
    <w:rsid w:val="015442BF"/>
    <w:rsid w:val="03094BEF"/>
    <w:rsid w:val="03485BC4"/>
    <w:rsid w:val="042E413E"/>
    <w:rsid w:val="046E724D"/>
    <w:rsid w:val="0471001E"/>
    <w:rsid w:val="05665C9C"/>
    <w:rsid w:val="0703546C"/>
    <w:rsid w:val="07373D6E"/>
    <w:rsid w:val="07DD46C7"/>
    <w:rsid w:val="0838647C"/>
    <w:rsid w:val="08414ECB"/>
    <w:rsid w:val="086523DB"/>
    <w:rsid w:val="08966097"/>
    <w:rsid w:val="093C3637"/>
    <w:rsid w:val="0A4F1672"/>
    <w:rsid w:val="0A57435A"/>
    <w:rsid w:val="0A821D5F"/>
    <w:rsid w:val="0B5B19EE"/>
    <w:rsid w:val="0BCC51A2"/>
    <w:rsid w:val="0BCD7E18"/>
    <w:rsid w:val="0BFA5245"/>
    <w:rsid w:val="0CB45A2E"/>
    <w:rsid w:val="0CBE4509"/>
    <w:rsid w:val="0CF805D0"/>
    <w:rsid w:val="0D64464B"/>
    <w:rsid w:val="0DE63EF2"/>
    <w:rsid w:val="0E4C2DC4"/>
    <w:rsid w:val="0E9C3035"/>
    <w:rsid w:val="0F1E1B19"/>
    <w:rsid w:val="0F583325"/>
    <w:rsid w:val="0F647C27"/>
    <w:rsid w:val="10927158"/>
    <w:rsid w:val="11906AF8"/>
    <w:rsid w:val="12041157"/>
    <w:rsid w:val="125B6579"/>
    <w:rsid w:val="12680F55"/>
    <w:rsid w:val="14C55A98"/>
    <w:rsid w:val="1506495D"/>
    <w:rsid w:val="15C61231"/>
    <w:rsid w:val="16007FF3"/>
    <w:rsid w:val="164B4077"/>
    <w:rsid w:val="18D335F6"/>
    <w:rsid w:val="19197660"/>
    <w:rsid w:val="197436EF"/>
    <w:rsid w:val="1B7B19C7"/>
    <w:rsid w:val="1CCB23F4"/>
    <w:rsid w:val="1D7770CD"/>
    <w:rsid w:val="1D9C5048"/>
    <w:rsid w:val="1DB83CE3"/>
    <w:rsid w:val="1E91268A"/>
    <w:rsid w:val="1EAA3824"/>
    <w:rsid w:val="1FC67D35"/>
    <w:rsid w:val="20EA5E2D"/>
    <w:rsid w:val="20F37854"/>
    <w:rsid w:val="21932C38"/>
    <w:rsid w:val="219467E5"/>
    <w:rsid w:val="22AD0671"/>
    <w:rsid w:val="23726A00"/>
    <w:rsid w:val="241C6E25"/>
    <w:rsid w:val="24491C6F"/>
    <w:rsid w:val="24947EC5"/>
    <w:rsid w:val="24FB1F54"/>
    <w:rsid w:val="259E6B13"/>
    <w:rsid w:val="275E6826"/>
    <w:rsid w:val="29767F90"/>
    <w:rsid w:val="2C5F3B64"/>
    <w:rsid w:val="2CB738A8"/>
    <w:rsid w:val="2DB41AA7"/>
    <w:rsid w:val="2DB532B0"/>
    <w:rsid w:val="2DD3123E"/>
    <w:rsid w:val="2E280F7E"/>
    <w:rsid w:val="2E486713"/>
    <w:rsid w:val="2EB73FD3"/>
    <w:rsid w:val="301C0974"/>
    <w:rsid w:val="315C1E98"/>
    <w:rsid w:val="32065F22"/>
    <w:rsid w:val="32107823"/>
    <w:rsid w:val="325E1EBB"/>
    <w:rsid w:val="32F20B69"/>
    <w:rsid w:val="330B77CE"/>
    <w:rsid w:val="336D6881"/>
    <w:rsid w:val="34305D44"/>
    <w:rsid w:val="349E572F"/>
    <w:rsid w:val="350F1519"/>
    <w:rsid w:val="354F2ACC"/>
    <w:rsid w:val="355A5165"/>
    <w:rsid w:val="35936C44"/>
    <w:rsid w:val="359A1335"/>
    <w:rsid w:val="37DC100D"/>
    <w:rsid w:val="37F14A1D"/>
    <w:rsid w:val="38F610C1"/>
    <w:rsid w:val="397F0358"/>
    <w:rsid w:val="3A3239B8"/>
    <w:rsid w:val="3D7F6AD1"/>
    <w:rsid w:val="3DAA0EEA"/>
    <w:rsid w:val="3DEE053D"/>
    <w:rsid w:val="4027006F"/>
    <w:rsid w:val="419F6DD6"/>
    <w:rsid w:val="426C13B2"/>
    <w:rsid w:val="428804D9"/>
    <w:rsid w:val="4332131B"/>
    <w:rsid w:val="439F50CE"/>
    <w:rsid w:val="44404B55"/>
    <w:rsid w:val="445D2EA1"/>
    <w:rsid w:val="4490105C"/>
    <w:rsid w:val="45202CA4"/>
    <w:rsid w:val="45594902"/>
    <w:rsid w:val="468E6D02"/>
    <w:rsid w:val="48062EBB"/>
    <w:rsid w:val="48646E20"/>
    <w:rsid w:val="493A4E9B"/>
    <w:rsid w:val="496A2463"/>
    <w:rsid w:val="49FC2BF8"/>
    <w:rsid w:val="4A2B140F"/>
    <w:rsid w:val="4BE95E24"/>
    <w:rsid w:val="4D4A6F67"/>
    <w:rsid w:val="4D98732B"/>
    <w:rsid w:val="4DC15140"/>
    <w:rsid w:val="4EE41737"/>
    <w:rsid w:val="4FC26D77"/>
    <w:rsid w:val="511135E9"/>
    <w:rsid w:val="5145494F"/>
    <w:rsid w:val="51C70AEF"/>
    <w:rsid w:val="52966EA4"/>
    <w:rsid w:val="52BA5A93"/>
    <w:rsid w:val="53E81BEB"/>
    <w:rsid w:val="540E4017"/>
    <w:rsid w:val="545951DB"/>
    <w:rsid w:val="54E17A6A"/>
    <w:rsid w:val="55F84E4F"/>
    <w:rsid w:val="57892115"/>
    <w:rsid w:val="57FD54A1"/>
    <w:rsid w:val="58491028"/>
    <w:rsid w:val="586359A2"/>
    <w:rsid w:val="59610AFE"/>
    <w:rsid w:val="5A3B7593"/>
    <w:rsid w:val="5AC730DE"/>
    <w:rsid w:val="5B6B698B"/>
    <w:rsid w:val="5CA25D6C"/>
    <w:rsid w:val="5E74642D"/>
    <w:rsid w:val="5E9C60A7"/>
    <w:rsid w:val="5FBB43C1"/>
    <w:rsid w:val="61CA2033"/>
    <w:rsid w:val="61DE65CB"/>
    <w:rsid w:val="620B660B"/>
    <w:rsid w:val="63233BC3"/>
    <w:rsid w:val="63E67216"/>
    <w:rsid w:val="64AE168B"/>
    <w:rsid w:val="651321F3"/>
    <w:rsid w:val="664453F8"/>
    <w:rsid w:val="66716596"/>
    <w:rsid w:val="67BE3B6C"/>
    <w:rsid w:val="67E501B5"/>
    <w:rsid w:val="68090E6A"/>
    <w:rsid w:val="69072A06"/>
    <w:rsid w:val="69364659"/>
    <w:rsid w:val="6ACD15F7"/>
    <w:rsid w:val="6B6C2B3B"/>
    <w:rsid w:val="6B762ECF"/>
    <w:rsid w:val="6C093946"/>
    <w:rsid w:val="6C374FB5"/>
    <w:rsid w:val="6C5D569C"/>
    <w:rsid w:val="6CAC55AC"/>
    <w:rsid w:val="6E803CFC"/>
    <w:rsid w:val="70336A28"/>
    <w:rsid w:val="70737E36"/>
    <w:rsid w:val="70DC78FB"/>
    <w:rsid w:val="731329B0"/>
    <w:rsid w:val="74164E6F"/>
    <w:rsid w:val="74196797"/>
    <w:rsid w:val="75014B6B"/>
    <w:rsid w:val="7520371B"/>
    <w:rsid w:val="7530784E"/>
    <w:rsid w:val="75516C70"/>
    <w:rsid w:val="75FD1B64"/>
    <w:rsid w:val="776853C6"/>
    <w:rsid w:val="78842A4B"/>
    <w:rsid w:val="79080129"/>
    <w:rsid w:val="791D37F9"/>
    <w:rsid w:val="79FF4444"/>
    <w:rsid w:val="7A034587"/>
    <w:rsid w:val="7A39304E"/>
    <w:rsid w:val="7A91022B"/>
    <w:rsid w:val="7ACC65B8"/>
    <w:rsid w:val="7C5E1535"/>
    <w:rsid w:val="7C727CFF"/>
    <w:rsid w:val="7CAC1EAE"/>
    <w:rsid w:val="7FB16F57"/>
    <w:rsid w:val="7FE1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2019-06-21T09:27:00Z</dcterms:created>
  <dc:creator>Administrator</dc:creator>
  <cp:lastModifiedBy>朱家玉</cp:lastModifiedBy>
  <cp:lastPrinted>2019-08-14T07:17:00Z</cp:lastPrinted>
  <dcterms:modified xsi:type="dcterms:W3CDTF">2019-08-15T02:17:12Z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